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A0EBC" w14:textId="77777777" w:rsidR="009C13C1" w:rsidRPr="00AB3872" w:rsidRDefault="009C13C1" w:rsidP="009C13C1">
      <w:pPr>
        <w:adjustRightInd w:val="0"/>
        <w:snapToGrid w:val="0"/>
        <w:spacing w:line="360" w:lineRule="auto"/>
        <w:jc w:val="center"/>
        <w:rPr>
          <w:rFonts w:eastAsia="黑体"/>
          <w:b/>
          <w:sz w:val="30"/>
          <w:szCs w:val="30"/>
        </w:rPr>
      </w:pPr>
      <w:r w:rsidRPr="00AB3872">
        <w:rPr>
          <w:rFonts w:eastAsia="黑体" w:hint="eastAsia"/>
          <w:b/>
          <w:sz w:val="30"/>
          <w:szCs w:val="30"/>
        </w:rPr>
        <w:t>中</w:t>
      </w:r>
      <w:proofErr w:type="gramStart"/>
      <w:r w:rsidRPr="00AB3872">
        <w:rPr>
          <w:rFonts w:eastAsia="黑体" w:hint="eastAsia"/>
          <w:b/>
          <w:sz w:val="30"/>
          <w:szCs w:val="30"/>
        </w:rPr>
        <w:t>信建投证券</w:t>
      </w:r>
      <w:proofErr w:type="gramEnd"/>
      <w:r w:rsidRPr="00AB3872">
        <w:rPr>
          <w:rFonts w:eastAsia="黑体" w:hint="eastAsia"/>
          <w:b/>
          <w:sz w:val="30"/>
          <w:szCs w:val="30"/>
        </w:rPr>
        <w:t>股份有限公司</w:t>
      </w:r>
    </w:p>
    <w:p w14:paraId="17241EE9" w14:textId="4EBDB7C9" w:rsidR="009C13C1" w:rsidRPr="00AB3872" w:rsidRDefault="009C13C1" w:rsidP="009C13C1">
      <w:pPr>
        <w:adjustRightInd w:val="0"/>
        <w:snapToGrid w:val="0"/>
        <w:spacing w:line="360" w:lineRule="auto"/>
        <w:jc w:val="center"/>
        <w:rPr>
          <w:rFonts w:eastAsia="黑体"/>
          <w:b/>
          <w:sz w:val="30"/>
          <w:szCs w:val="30"/>
        </w:rPr>
      </w:pPr>
      <w:r w:rsidRPr="00AB3872">
        <w:rPr>
          <w:rFonts w:eastAsia="黑体"/>
          <w:b/>
          <w:sz w:val="30"/>
          <w:szCs w:val="30"/>
        </w:rPr>
        <w:t>关于</w:t>
      </w:r>
      <w:r w:rsidRPr="00AB3872">
        <w:rPr>
          <w:rFonts w:eastAsia="黑体" w:hint="eastAsia"/>
          <w:b/>
          <w:sz w:val="30"/>
          <w:szCs w:val="30"/>
        </w:rPr>
        <w:t>宁德时代</w:t>
      </w:r>
      <w:r w:rsidRPr="00AB3872">
        <w:rPr>
          <w:rFonts w:eastAsia="黑体"/>
          <w:b/>
          <w:sz w:val="30"/>
          <w:szCs w:val="30"/>
        </w:rPr>
        <w:t>新能源科技股份有限公司</w:t>
      </w:r>
    </w:p>
    <w:p w14:paraId="5F407CEC" w14:textId="1D34B11A" w:rsidR="009C13C1" w:rsidRPr="00AB3872" w:rsidRDefault="001928BA" w:rsidP="009C13C1">
      <w:pPr>
        <w:adjustRightInd w:val="0"/>
        <w:snapToGrid w:val="0"/>
        <w:spacing w:line="360" w:lineRule="auto"/>
        <w:jc w:val="center"/>
        <w:rPr>
          <w:rFonts w:eastAsia="黑体"/>
          <w:b/>
          <w:sz w:val="30"/>
          <w:szCs w:val="30"/>
        </w:rPr>
      </w:pPr>
      <w:r w:rsidRPr="00AB3872">
        <w:rPr>
          <w:rFonts w:eastAsia="黑体" w:hint="eastAsia"/>
          <w:b/>
          <w:sz w:val="30"/>
          <w:szCs w:val="30"/>
        </w:rPr>
        <w:t>新增日常关联交易额度预计</w:t>
      </w:r>
      <w:r w:rsidR="009C13C1" w:rsidRPr="00AB3872">
        <w:rPr>
          <w:rFonts w:eastAsia="黑体" w:hint="eastAsia"/>
          <w:b/>
          <w:sz w:val="30"/>
          <w:szCs w:val="30"/>
        </w:rPr>
        <w:t>的核查意见</w:t>
      </w:r>
    </w:p>
    <w:p w14:paraId="48748BC0" w14:textId="7539689A" w:rsidR="00564167" w:rsidRPr="00AB3872" w:rsidRDefault="00564167" w:rsidP="00FA59F5">
      <w:pPr>
        <w:spacing w:beforeLines="50" w:before="156" w:line="360" w:lineRule="auto"/>
        <w:jc w:val="left"/>
        <w:rPr>
          <w:rFonts w:eastAsiaTheme="minorEastAsia"/>
          <w:b/>
          <w:szCs w:val="24"/>
        </w:rPr>
      </w:pPr>
    </w:p>
    <w:p w14:paraId="6F7456EC" w14:textId="08DCEBF0" w:rsidR="00AB78FE" w:rsidRPr="00AB3872" w:rsidRDefault="00847873" w:rsidP="00FA59F5">
      <w:pPr>
        <w:spacing w:beforeLines="50" w:before="156" w:line="360" w:lineRule="auto"/>
        <w:ind w:firstLineChars="200" w:firstLine="480"/>
        <w:jc w:val="left"/>
        <w:rPr>
          <w:rFonts w:eastAsiaTheme="minorEastAsia"/>
          <w:color w:val="000000"/>
          <w:szCs w:val="24"/>
        </w:rPr>
      </w:pPr>
      <w:r w:rsidRPr="00AB3872">
        <w:rPr>
          <w:rFonts w:eastAsiaTheme="minorEastAsia" w:hint="eastAsia"/>
          <w:szCs w:val="24"/>
        </w:rPr>
        <w:t>中</w:t>
      </w:r>
      <w:proofErr w:type="gramStart"/>
      <w:r w:rsidRPr="00AB3872">
        <w:rPr>
          <w:rFonts w:eastAsiaTheme="minorEastAsia" w:hint="eastAsia"/>
          <w:szCs w:val="24"/>
        </w:rPr>
        <w:t>信建投证券</w:t>
      </w:r>
      <w:proofErr w:type="gramEnd"/>
      <w:r w:rsidRPr="00AB3872">
        <w:rPr>
          <w:rFonts w:eastAsiaTheme="minorEastAsia" w:hint="eastAsia"/>
          <w:szCs w:val="24"/>
        </w:rPr>
        <w:t>股份有限公司（以下简称“中信建投证券”或“保荐机构”）作为宁德时代新能源科技股份有限公司（以下简称“宁德时代”或“公司”）</w:t>
      </w:r>
      <w:r w:rsidRPr="00AB3872">
        <w:rPr>
          <w:rFonts w:eastAsiaTheme="minorEastAsia" w:hint="eastAsia"/>
          <w:szCs w:val="24"/>
        </w:rPr>
        <w:t>2020</w:t>
      </w:r>
      <w:r w:rsidRPr="00AB3872">
        <w:rPr>
          <w:rFonts w:eastAsiaTheme="minorEastAsia" w:hint="eastAsia"/>
          <w:szCs w:val="24"/>
        </w:rPr>
        <w:t>年非公开发行股票及</w:t>
      </w:r>
      <w:r w:rsidR="007C4687" w:rsidRPr="00AB3872">
        <w:rPr>
          <w:rFonts w:eastAsiaTheme="minorEastAsia" w:hint="eastAsia"/>
          <w:szCs w:val="24"/>
        </w:rPr>
        <w:t>2</w:t>
      </w:r>
      <w:r w:rsidR="007C4687" w:rsidRPr="00AB3872">
        <w:rPr>
          <w:rFonts w:eastAsiaTheme="minorEastAsia"/>
          <w:szCs w:val="24"/>
        </w:rPr>
        <w:t>022</w:t>
      </w:r>
      <w:r w:rsidR="007C4687" w:rsidRPr="00AB3872">
        <w:rPr>
          <w:rFonts w:eastAsiaTheme="minorEastAsia" w:hint="eastAsia"/>
          <w:szCs w:val="24"/>
        </w:rPr>
        <w:t>年</w:t>
      </w:r>
      <w:r w:rsidRPr="00AB3872">
        <w:rPr>
          <w:rFonts w:eastAsiaTheme="minorEastAsia" w:hint="eastAsia"/>
          <w:szCs w:val="24"/>
        </w:rPr>
        <w:t>向特定对象发行股票的保荐机构，根据《证券发行上市保荐业务管理办法》《深圳证券交易所创业板股票上市规则（</w:t>
      </w:r>
      <w:r w:rsidRPr="00AB3872">
        <w:rPr>
          <w:rFonts w:eastAsiaTheme="minorEastAsia" w:hint="eastAsia"/>
          <w:szCs w:val="24"/>
        </w:rPr>
        <w:t>2020</w:t>
      </w:r>
      <w:r w:rsidRPr="00AB3872">
        <w:rPr>
          <w:rFonts w:eastAsiaTheme="minorEastAsia" w:hint="eastAsia"/>
          <w:szCs w:val="24"/>
        </w:rPr>
        <w:t>年修订）》《深圳证券交易所上市公司自律监管指引第</w:t>
      </w:r>
      <w:r w:rsidRPr="00AB3872">
        <w:rPr>
          <w:rFonts w:eastAsiaTheme="minorEastAsia" w:hint="eastAsia"/>
          <w:szCs w:val="24"/>
        </w:rPr>
        <w:t>2</w:t>
      </w:r>
      <w:r w:rsidRPr="00AB3872">
        <w:rPr>
          <w:rFonts w:eastAsiaTheme="minorEastAsia" w:hint="eastAsia"/>
          <w:szCs w:val="24"/>
        </w:rPr>
        <w:t>号——创业板上市公司规范运作》《深圳证券交易所上市公司自律监管指引第</w:t>
      </w:r>
      <w:r w:rsidRPr="00AB3872">
        <w:rPr>
          <w:rFonts w:eastAsiaTheme="minorEastAsia" w:hint="eastAsia"/>
          <w:szCs w:val="24"/>
        </w:rPr>
        <w:t>13</w:t>
      </w:r>
      <w:r w:rsidRPr="00AB3872">
        <w:rPr>
          <w:rFonts w:eastAsiaTheme="minorEastAsia" w:hint="eastAsia"/>
          <w:szCs w:val="24"/>
        </w:rPr>
        <w:t>号——保荐业务》等相关规定</w:t>
      </w:r>
      <w:r w:rsidR="009C13C1" w:rsidRPr="00AB3872">
        <w:rPr>
          <w:rFonts w:eastAsiaTheme="minorEastAsia" w:hint="eastAsia"/>
          <w:szCs w:val="24"/>
        </w:rPr>
        <w:t>，对宁德时代</w:t>
      </w:r>
      <w:r w:rsidR="001928BA" w:rsidRPr="00AB3872">
        <w:rPr>
          <w:rFonts w:eastAsiaTheme="minorEastAsia" w:hint="eastAsia"/>
          <w:szCs w:val="24"/>
        </w:rPr>
        <w:t>新增日常关联交易额度</w:t>
      </w:r>
      <w:r w:rsidR="009C13C1" w:rsidRPr="00AB3872">
        <w:rPr>
          <w:rFonts w:eastAsiaTheme="minorEastAsia" w:hint="eastAsia"/>
          <w:szCs w:val="24"/>
        </w:rPr>
        <w:t>进行了认真、审慎的核查，并发表如下核查意见</w:t>
      </w:r>
      <w:r w:rsidR="00AB78FE" w:rsidRPr="00AB3872">
        <w:rPr>
          <w:rFonts w:eastAsiaTheme="minorEastAsia"/>
          <w:szCs w:val="24"/>
        </w:rPr>
        <w:t>：</w:t>
      </w:r>
    </w:p>
    <w:p w14:paraId="531597C7" w14:textId="75531687" w:rsidR="004E7CF0" w:rsidRPr="00AB3872" w:rsidRDefault="004E7CF0" w:rsidP="00E06FA9">
      <w:pPr>
        <w:autoSpaceDE w:val="0"/>
        <w:autoSpaceDN w:val="0"/>
        <w:spacing w:beforeLines="50" w:before="156" w:line="360" w:lineRule="auto"/>
        <w:ind w:firstLineChars="200" w:firstLine="482"/>
        <w:outlineLvl w:val="0"/>
        <w:rPr>
          <w:rFonts w:eastAsiaTheme="minorEastAsia"/>
          <w:b/>
          <w:color w:val="000000"/>
        </w:rPr>
      </w:pPr>
      <w:r w:rsidRPr="00AB3872">
        <w:rPr>
          <w:rFonts w:eastAsiaTheme="minorEastAsia"/>
          <w:b/>
          <w:color w:val="000000"/>
        </w:rPr>
        <w:t>一、新增日常关联交易基本情况</w:t>
      </w:r>
    </w:p>
    <w:p w14:paraId="7E6C9EA8" w14:textId="77777777"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b/>
          <w:color w:val="000000"/>
        </w:rPr>
        <w:t>（一）新增日常关联交易概述</w:t>
      </w:r>
    </w:p>
    <w:p w14:paraId="280F8C6B" w14:textId="0BDBC31C" w:rsidR="004E7CF0" w:rsidRPr="00AB3872" w:rsidRDefault="00CD7075" w:rsidP="004E7CF0">
      <w:pPr>
        <w:autoSpaceDE w:val="0"/>
        <w:autoSpaceDN w:val="0"/>
        <w:spacing w:beforeLines="50" w:before="156" w:line="360" w:lineRule="auto"/>
        <w:ind w:firstLineChars="200" w:firstLine="480"/>
        <w:rPr>
          <w:rFonts w:eastAsiaTheme="minorEastAsia"/>
          <w:color w:val="000000"/>
        </w:rPr>
      </w:pPr>
      <w:r w:rsidRPr="00CD7075">
        <w:rPr>
          <w:rFonts w:eastAsiaTheme="minorEastAsia" w:hint="eastAsia"/>
          <w:color w:val="000000"/>
        </w:rPr>
        <w:t>1</w:t>
      </w:r>
      <w:r w:rsidRPr="00CD7075">
        <w:rPr>
          <w:rFonts w:eastAsiaTheme="minorEastAsia" w:hint="eastAsia"/>
          <w:color w:val="000000"/>
        </w:rPr>
        <w:t>、公司于</w:t>
      </w:r>
      <w:r w:rsidRPr="00CD7075">
        <w:rPr>
          <w:rFonts w:eastAsiaTheme="minorEastAsia" w:hint="eastAsia"/>
          <w:color w:val="000000"/>
        </w:rPr>
        <w:t>2022</w:t>
      </w:r>
      <w:r w:rsidRPr="00CD7075">
        <w:rPr>
          <w:rFonts w:eastAsiaTheme="minorEastAsia" w:hint="eastAsia"/>
          <w:color w:val="000000"/>
        </w:rPr>
        <w:t>年</w:t>
      </w:r>
      <w:r w:rsidRPr="00CD7075">
        <w:rPr>
          <w:rFonts w:eastAsiaTheme="minorEastAsia" w:hint="eastAsia"/>
          <w:color w:val="000000"/>
        </w:rPr>
        <w:t>4</w:t>
      </w:r>
      <w:r w:rsidRPr="00CD7075">
        <w:rPr>
          <w:rFonts w:eastAsiaTheme="minorEastAsia" w:hint="eastAsia"/>
          <w:color w:val="000000"/>
        </w:rPr>
        <w:t>月</w:t>
      </w:r>
      <w:r w:rsidRPr="00CD7075">
        <w:rPr>
          <w:rFonts w:eastAsiaTheme="minorEastAsia" w:hint="eastAsia"/>
          <w:color w:val="000000"/>
        </w:rPr>
        <w:t>20</w:t>
      </w:r>
      <w:r w:rsidRPr="00CD7075">
        <w:rPr>
          <w:rFonts w:eastAsiaTheme="minorEastAsia" w:hint="eastAsia"/>
          <w:color w:val="000000"/>
        </w:rPr>
        <w:t>日召开的第三届董事会第三次会议审议通过《关于公司</w:t>
      </w:r>
      <w:r w:rsidRPr="00CD7075">
        <w:rPr>
          <w:rFonts w:eastAsiaTheme="minorEastAsia" w:hint="eastAsia"/>
          <w:color w:val="000000"/>
        </w:rPr>
        <w:t>2022</w:t>
      </w:r>
      <w:r w:rsidRPr="00CD7075">
        <w:rPr>
          <w:rFonts w:eastAsiaTheme="minorEastAsia" w:hint="eastAsia"/>
          <w:color w:val="000000"/>
        </w:rPr>
        <w:t>年度日常关联交易预计的议案》，公司及控股子公司预计</w:t>
      </w:r>
      <w:r w:rsidRPr="00CD7075">
        <w:rPr>
          <w:rFonts w:eastAsiaTheme="minorEastAsia" w:hint="eastAsia"/>
          <w:color w:val="000000"/>
        </w:rPr>
        <w:t>2022</w:t>
      </w:r>
      <w:r w:rsidRPr="00CD7075">
        <w:rPr>
          <w:rFonts w:eastAsiaTheme="minorEastAsia" w:hint="eastAsia"/>
          <w:color w:val="000000"/>
        </w:rPr>
        <w:t>年度将与上汽时代动力电池系统有限公司（简称“上汽时代”）、宁德时代科士达科技有限公司（简称“时代科士达”）等关联方发生日常关联交易不超过</w:t>
      </w:r>
      <w:r w:rsidRPr="00CD7075">
        <w:rPr>
          <w:rFonts w:eastAsiaTheme="minorEastAsia" w:hint="eastAsia"/>
          <w:color w:val="000000"/>
        </w:rPr>
        <w:t>408,150</w:t>
      </w:r>
      <w:r w:rsidRPr="00CD7075">
        <w:rPr>
          <w:rFonts w:eastAsiaTheme="minorEastAsia" w:hint="eastAsia"/>
          <w:color w:val="000000"/>
        </w:rPr>
        <w:t>万元。现根据公司业务发展及日常经营的需要，在前述</w:t>
      </w:r>
      <w:r w:rsidRPr="00CD7075">
        <w:rPr>
          <w:rFonts w:eastAsiaTheme="minorEastAsia" w:hint="eastAsia"/>
          <w:color w:val="000000"/>
        </w:rPr>
        <w:t>2022</w:t>
      </w:r>
      <w:r w:rsidRPr="00CD7075">
        <w:rPr>
          <w:rFonts w:eastAsiaTheme="minorEastAsia" w:hint="eastAsia"/>
          <w:color w:val="000000"/>
        </w:rPr>
        <w:t>年度日常关联交易额度基础上，公司及控股子公司预计</w:t>
      </w:r>
      <w:r w:rsidRPr="00CD7075">
        <w:rPr>
          <w:rFonts w:eastAsiaTheme="minorEastAsia" w:hint="eastAsia"/>
          <w:color w:val="000000"/>
        </w:rPr>
        <w:t>2022</w:t>
      </w:r>
      <w:r w:rsidRPr="00CD7075">
        <w:rPr>
          <w:rFonts w:eastAsiaTheme="minorEastAsia" w:hint="eastAsia"/>
          <w:color w:val="000000"/>
        </w:rPr>
        <w:t>年度及</w:t>
      </w:r>
      <w:r w:rsidRPr="00CD7075">
        <w:rPr>
          <w:rFonts w:eastAsiaTheme="minorEastAsia" w:hint="eastAsia"/>
          <w:color w:val="000000"/>
        </w:rPr>
        <w:t>2023</w:t>
      </w:r>
      <w:r w:rsidRPr="00CD7075">
        <w:rPr>
          <w:rFonts w:eastAsiaTheme="minorEastAsia" w:hint="eastAsia"/>
          <w:color w:val="000000"/>
        </w:rPr>
        <w:t>年</w:t>
      </w:r>
      <w:r w:rsidRPr="00CD7075">
        <w:rPr>
          <w:rFonts w:eastAsiaTheme="minorEastAsia" w:hint="eastAsia"/>
          <w:color w:val="000000"/>
        </w:rPr>
        <w:t>1-4</w:t>
      </w:r>
      <w:r w:rsidRPr="00CD7075">
        <w:rPr>
          <w:rFonts w:eastAsiaTheme="minorEastAsia" w:hint="eastAsia"/>
          <w:color w:val="000000"/>
        </w:rPr>
        <w:t>月与上汽时代、时代科士达新增发生日常关联交易不超过</w:t>
      </w:r>
      <w:r w:rsidRPr="00CD7075">
        <w:rPr>
          <w:rFonts w:eastAsiaTheme="minorEastAsia" w:hint="eastAsia"/>
          <w:color w:val="000000"/>
        </w:rPr>
        <w:t>249,000</w:t>
      </w:r>
      <w:r w:rsidRPr="00CD7075">
        <w:rPr>
          <w:rFonts w:eastAsiaTheme="minorEastAsia" w:hint="eastAsia"/>
          <w:color w:val="000000"/>
        </w:rPr>
        <w:t>万元。</w:t>
      </w:r>
    </w:p>
    <w:p w14:paraId="50D78B87" w14:textId="77777777" w:rsidR="00640B39" w:rsidRPr="00AB3872" w:rsidRDefault="00640B39" w:rsidP="00640B39">
      <w:pPr>
        <w:spacing w:beforeLines="50" w:before="156" w:line="360" w:lineRule="auto"/>
        <w:ind w:firstLineChars="200" w:firstLine="480"/>
        <w:rPr>
          <w:szCs w:val="24"/>
        </w:rPr>
      </w:pPr>
      <w:r w:rsidRPr="00AB3872">
        <w:rPr>
          <w:rFonts w:hint="eastAsia"/>
          <w:szCs w:val="24"/>
        </w:rPr>
        <w:t>2</w:t>
      </w:r>
      <w:r w:rsidRPr="00AB3872">
        <w:rPr>
          <w:rFonts w:hint="eastAsia"/>
          <w:szCs w:val="24"/>
        </w:rPr>
        <w:t>、公司第三届董事会第十四次会议以</w:t>
      </w:r>
      <w:r w:rsidRPr="00AB3872">
        <w:rPr>
          <w:szCs w:val="24"/>
        </w:rPr>
        <w:t>6</w:t>
      </w:r>
      <w:r w:rsidRPr="00AB3872">
        <w:rPr>
          <w:rFonts w:hint="eastAsia"/>
          <w:szCs w:val="24"/>
        </w:rPr>
        <w:t>票同意、</w:t>
      </w:r>
      <w:r w:rsidRPr="00AB3872">
        <w:rPr>
          <w:rFonts w:hint="eastAsia"/>
          <w:szCs w:val="24"/>
        </w:rPr>
        <w:t>0</w:t>
      </w:r>
      <w:r w:rsidRPr="00AB3872">
        <w:rPr>
          <w:rFonts w:hint="eastAsia"/>
          <w:szCs w:val="24"/>
        </w:rPr>
        <w:t>票反对、</w:t>
      </w:r>
      <w:r w:rsidRPr="00AB3872">
        <w:rPr>
          <w:rFonts w:hint="eastAsia"/>
          <w:szCs w:val="24"/>
        </w:rPr>
        <w:t>0</w:t>
      </w:r>
      <w:r w:rsidRPr="00AB3872">
        <w:rPr>
          <w:rFonts w:hint="eastAsia"/>
          <w:szCs w:val="24"/>
        </w:rPr>
        <w:t>票弃权审议通过《关于新增日常关联交易额度预计的议案》，其中关联董事周佳先生、吴凯先生已回避表决。根据《深圳证券交易所创业板股票上市规则》以及《公司章程》《关联交易管理制度》的相关规定，本次关联交易在董事会审议权限范围内，无需提交公司股东大会审议。</w:t>
      </w:r>
    </w:p>
    <w:p w14:paraId="1C7ECEEF" w14:textId="77777777"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b/>
          <w:color w:val="000000"/>
        </w:rPr>
        <w:lastRenderedPageBreak/>
        <w:t>（二）</w:t>
      </w:r>
      <w:r w:rsidRPr="00AB3872">
        <w:rPr>
          <w:rFonts w:eastAsiaTheme="minorEastAsia" w:hint="eastAsia"/>
          <w:b/>
          <w:color w:val="000000"/>
        </w:rPr>
        <w:t>新</w:t>
      </w:r>
      <w:r w:rsidRPr="00AB3872">
        <w:rPr>
          <w:rFonts w:eastAsiaTheme="minorEastAsia"/>
          <w:b/>
          <w:color w:val="000000"/>
        </w:rPr>
        <w:t>增日常关联交易类别和金额</w:t>
      </w:r>
    </w:p>
    <w:p w14:paraId="47D57978" w14:textId="529626C6" w:rsidR="004E7CF0" w:rsidRPr="00AB3872" w:rsidRDefault="004E7CF0" w:rsidP="00426288">
      <w:pPr>
        <w:pStyle w:val="11"/>
        <w:keepNext/>
        <w:spacing w:beforeLines="50" w:before="156" w:after="0" w:line="240" w:lineRule="auto"/>
        <w:ind w:firstLineChars="0" w:firstLine="0"/>
        <w:jc w:val="right"/>
        <w:rPr>
          <w:rFonts w:ascii="Times New Roman" w:hAnsi="Times New Roman" w:cs="Times New Roman"/>
          <w:bCs/>
          <w:sz w:val="21"/>
          <w:szCs w:val="21"/>
        </w:rPr>
      </w:pPr>
      <w:r w:rsidRPr="00AB3872">
        <w:rPr>
          <w:rFonts w:ascii="Times New Roman" w:hAnsi="Times New Roman" w:cs="Times New Roman"/>
          <w:bCs/>
          <w:sz w:val="21"/>
          <w:szCs w:val="21"/>
        </w:rPr>
        <w:t>单位：万元</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7"/>
        <w:gridCol w:w="646"/>
        <w:gridCol w:w="770"/>
        <w:gridCol w:w="899"/>
        <w:gridCol w:w="923"/>
        <w:gridCol w:w="925"/>
        <w:gridCol w:w="1284"/>
        <w:gridCol w:w="1354"/>
        <w:gridCol w:w="1056"/>
      </w:tblGrid>
      <w:tr w:rsidR="001928BA" w:rsidRPr="00AB3872" w14:paraId="2961425D" w14:textId="77777777" w:rsidTr="00AB3872">
        <w:trPr>
          <w:cantSplit/>
          <w:trHeight w:val="340"/>
          <w:tblHeader/>
        </w:trPr>
        <w:tc>
          <w:tcPr>
            <w:tcW w:w="647" w:type="dxa"/>
            <w:vMerge w:val="restart"/>
            <w:shd w:val="clear" w:color="auto" w:fill="auto"/>
            <w:vAlign w:val="center"/>
          </w:tcPr>
          <w:p w14:paraId="289150FD" w14:textId="77777777" w:rsidR="001928BA" w:rsidRPr="00AB3872" w:rsidRDefault="001928BA" w:rsidP="001928BA">
            <w:pPr>
              <w:jc w:val="center"/>
              <w:rPr>
                <w:b/>
                <w:bCs/>
                <w:sz w:val="21"/>
                <w:szCs w:val="21"/>
              </w:rPr>
            </w:pPr>
            <w:r w:rsidRPr="00AB3872">
              <w:rPr>
                <w:b/>
                <w:bCs/>
                <w:sz w:val="21"/>
                <w:szCs w:val="21"/>
              </w:rPr>
              <w:t>关联交易</w:t>
            </w:r>
          </w:p>
          <w:p w14:paraId="69DCC656" w14:textId="77777777" w:rsidR="001928BA" w:rsidRPr="00AB3872" w:rsidRDefault="001928BA" w:rsidP="001928BA">
            <w:pPr>
              <w:jc w:val="center"/>
              <w:rPr>
                <w:b/>
                <w:bCs/>
                <w:sz w:val="21"/>
                <w:szCs w:val="21"/>
              </w:rPr>
            </w:pPr>
            <w:r w:rsidRPr="00AB3872">
              <w:rPr>
                <w:b/>
                <w:bCs/>
                <w:sz w:val="21"/>
                <w:szCs w:val="21"/>
              </w:rPr>
              <w:t>类别</w:t>
            </w:r>
          </w:p>
        </w:tc>
        <w:tc>
          <w:tcPr>
            <w:tcW w:w="427" w:type="dxa"/>
            <w:vMerge w:val="restart"/>
            <w:shd w:val="clear" w:color="auto" w:fill="auto"/>
            <w:vAlign w:val="center"/>
          </w:tcPr>
          <w:p w14:paraId="55B1B592" w14:textId="77777777" w:rsidR="001928BA" w:rsidRPr="00AB3872" w:rsidRDefault="001928BA" w:rsidP="001928BA">
            <w:pPr>
              <w:jc w:val="center"/>
              <w:rPr>
                <w:b/>
                <w:bCs/>
                <w:sz w:val="21"/>
                <w:szCs w:val="21"/>
              </w:rPr>
            </w:pPr>
            <w:r w:rsidRPr="00AB3872">
              <w:rPr>
                <w:b/>
                <w:bCs/>
                <w:sz w:val="21"/>
                <w:szCs w:val="21"/>
              </w:rPr>
              <w:t>关联方</w:t>
            </w:r>
          </w:p>
        </w:tc>
        <w:tc>
          <w:tcPr>
            <w:tcW w:w="646" w:type="dxa"/>
            <w:vMerge w:val="restart"/>
            <w:shd w:val="clear" w:color="auto" w:fill="auto"/>
            <w:vAlign w:val="center"/>
          </w:tcPr>
          <w:p w14:paraId="1D8F8433" w14:textId="77777777" w:rsidR="001928BA" w:rsidRPr="00AB3872" w:rsidRDefault="001928BA" w:rsidP="001928BA">
            <w:pPr>
              <w:jc w:val="center"/>
              <w:rPr>
                <w:b/>
                <w:bCs/>
                <w:sz w:val="21"/>
                <w:szCs w:val="21"/>
              </w:rPr>
            </w:pPr>
            <w:r w:rsidRPr="00AB3872">
              <w:rPr>
                <w:b/>
                <w:bCs/>
                <w:sz w:val="21"/>
                <w:szCs w:val="21"/>
              </w:rPr>
              <w:t>关联交易内容</w:t>
            </w:r>
          </w:p>
        </w:tc>
        <w:tc>
          <w:tcPr>
            <w:tcW w:w="770" w:type="dxa"/>
            <w:vMerge w:val="restart"/>
            <w:shd w:val="clear" w:color="auto" w:fill="auto"/>
            <w:vAlign w:val="center"/>
          </w:tcPr>
          <w:p w14:paraId="25CF4A0F" w14:textId="77777777" w:rsidR="001928BA" w:rsidRPr="00AB3872" w:rsidRDefault="001928BA" w:rsidP="001928BA">
            <w:pPr>
              <w:jc w:val="center"/>
              <w:rPr>
                <w:b/>
                <w:bCs/>
                <w:sz w:val="21"/>
                <w:szCs w:val="21"/>
              </w:rPr>
            </w:pPr>
            <w:r w:rsidRPr="00AB3872">
              <w:rPr>
                <w:b/>
                <w:bCs/>
                <w:sz w:val="21"/>
                <w:szCs w:val="21"/>
              </w:rPr>
              <w:t>关联交易定价原则</w:t>
            </w:r>
          </w:p>
        </w:tc>
        <w:tc>
          <w:tcPr>
            <w:tcW w:w="2747" w:type="dxa"/>
            <w:gridSpan w:val="3"/>
            <w:vAlign w:val="center"/>
          </w:tcPr>
          <w:p w14:paraId="1C58D766" w14:textId="77777777" w:rsidR="001928BA" w:rsidRPr="00AB3872" w:rsidRDefault="001928BA" w:rsidP="001928BA">
            <w:pPr>
              <w:jc w:val="center"/>
              <w:rPr>
                <w:b/>
                <w:bCs/>
                <w:sz w:val="21"/>
                <w:szCs w:val="21"/>
              </w:rPr>
            </w:pPr>
            <w:r w:rsidRPr="00AB3872">
              <w:rPr>
                <w:rFonts w:hint="eastAsia"/>
                <w:b/>
                <w:bCs/>
                <w:sz w:val="21"/>
                <w:szCs w:val="21"/>
              </w:rPr>
              <w:t>2</w:t>
            </w:r>
            <w:r w:rsidRPr="00AB3872">
              <w:rPr>
                <w:b/>
                <w:bCs/>
                <w:sz w:val="21"/>
                <w:szCs w:val="21"/>
              </w:rPr>
              <w:t>022</w:t>
            </w:r>
            <w:r w:rsidRPr="00AB3872">
              <w:rPr>
                <w:rFonts w:hint="eastAsia"/>
                <w:b/>
                <w:bCs/>
                <w:sz w:val="21"/>
                <w:szCs w:val="21"/>
              </w:rPr>
              <w:t>年度</w:t>
            </w:r>
          </w:p>
        </w:tc>
        <w:tc>
          <w:tcPr>
            <w:tcW w:w="1284" w:type="dxa"/>
            <w:vMerge w:val="restart"/>
            <w:vAlign w:val="center"/>
          </w:tcPr>
          <w:p w14:paraId="174C3581" w14:textId="77777777" w:rsidR="001928BA" w:rsidRPr="00AB3872" w:rsidRDefault="001928BA" w:rsidP="001928BA">
            <w:pPr>
              <w:jc w:val="center"/>
              <w:rPr>
                <w:b/>
                <w:bCs/>
                <w:sz w:val="21"/>
                <w:szCs w:val="21"/>
              </w:rPr>
            </w:pPr>
            <w:r w:rsidRPr="00AB3872">
              <w:rPr>
                <w:rFonts w:hint="eastAsia"/>
                <w:b/>
                <w:bCs/>
                <w:sz w:val="21"/>
                <w:szCs w:val="21"/>
              </w:rPr>
              <w:t>2</w:t>
            </w:r>
            <w:r w:rsidRPr="00AB3872">
              <w:rPr>
                <w:b/>
                <w:bCs/>
                <w:sz w:val="21"/>
                <w:szCs w:val="21"/>
              </w:rPr>
              <w:t>023</w:t>
            </w:r>
            <w:r w:rsidRPr="00AB3872">
              <w:rPr>
                <w:rFonts w:hint="eastAsia"/>
                <w:b/>
                <w:bCs/>
                <w:sz w:val="21"/>
                <w:szCs w:val="21"/>
              </w:rPr>
              <w:t>年</w:t>
            </w:r>
            <w:r w:rsidRPr="00AB3872">
              <w:rPr>
                <w:rFonts w:hint="eastAsia"/>
                <w:b/>
                <w:bCs/>
                <w:sz w:val="21"/>
                <w:szCs w:val="21"/>
              </w:rPr>
              <w:t>1</w:t>
            </w:r>
            <w:r w:rsidRPr="00AB3872">
              <w:rPr>
                <w:b/>
                <w:bCs/>
                <w:sz w:val="21"/>
                <w:szCs w:val="21"/>
              </w:rPr>
              <w:t>-4</w:t>
            </w:r>
            <w:r w:rsidRPr="00AB3872">
              <w:rPr>
                <w:rFonts w:hint="eastAsia"/>
                <w:b/>
                <w:bCs/>
                <w:sz w:val="21"/>
                <w:szCs w:val="21"/>
              </w:rPr>
              <w:t>月新增预计金额</w:t>
            </w:r>
          </w:p>
        </w:tc>
        <w:tc>
          <w:tcPr>
            <w:tcW w:w="1354" w:type="dxa"/>
            <w:vMerge w:val="restart"/>
            <w:vAlign w:val="center"/>
          </w:tcPr>
          <w:p w14:paraId="61AD5A59" w14:textId="43736E5E" w:rsidR="001928BA" w:rsidRPr="00AB3872" w:rsidRDefault="00FC5764" w:rsidP="001928BA">
            <w:pPr>
              <w:jc w:val="center"/>
              <w:rPr>
                <w:b/>
                <w:bCs/>
                <w:sz w:val="21"/>
                <w:szCs w:val="21"/>
              </w:rPr>
            </w:pPr>
            <w:r w:rsidRPr="00AB3872">
              <w:rPr>
                <w:rFonts w:hint="eastAsia"/>
                <w:b/>
                <w:bCs/>
                <w:sz w:val="21"/>
                <w:szCs w:val="21"/>
              </w:rPr>
              <w:t>截至</w:t>
            </w:r>
            <w:r w:rsidR="0042274E" w:rsidRPr="0042274E">
              <w:rPr>
                <w:rFonts w:hint="eastAsia"/>
                <w:b/>
                <w:bCs/>
                <w:sz w:val="21"/>
                <w:szCs w:val="21"/>
              </w:rPr>
              <w:t>2022</w:t>
            </w:r>
            <w:r w:rsidR="0042274E" w:rsidRPr="0042274E">
              <w:rPr>
                <w:rFonts w:hint="eastAsia"/>
                <w:b/>
                <w:bCs/>
                <w:sz w:val="21"/>
                <w:szCs w:val="21"/>
              </w:rPr>
              <w:t>年</w:t>
            </w:r>
            <w:r w:rsidR="0042274E" w:rsidRPr="0042274E">
              <w:rPr>
                <w:rFonts w:hint="eastAsia"/>
                <w:b/>
                <w:bCs/>
                <w:sz w:val="21"/>
                <w:szCs w:val="21"/>
              </w:rPr>
              <w:t>9</w:t>
            </w:r>
            <w:r w:rsidR="0042274E" w:rsidRPr="0042274E">
              <w:rPr>
                <w:rFonts w:hint="eastAsia"/>
                <w:b/>
                <w:bCs/>
                <w:sz w:val="21"/>
                <w:szCs w:val="21"/>
              </w:rPr>
              <w:t>月</w:t>
            </w:r>
            <w:r w:rsidR="0042274E" w:rsidRPr="0042274E">
              <w:rPr>
                <w:rFonts w:hint="eastAsia"/>
                <w:b/>
                <w:bCs/>
                <w:sz w:val="21"/>
                <w:szCs w:val="21"/>
              </w:rPr>
              <w:t>30</w:t>
            </w:r>
            <w:r w:rsidR="0042274E" w:rsidRPr="0042274E">
              <w:rPr>
                <w:rFonts w:hint="eastAsia"/>
                <w:b/>
                <w:bCs/>
                <w:sz w:val="21"/>
                <w:szCs w:val="21"/>
              </w:rPr>
              <w:t>日</w:t>
            </w:r>
            <w:r w:rsidRPr="00AB3872">
              <w:rPr>
                <w:rFonts w:hint="eastAsia"/>
                <w:b/>
                <w:bCs/>
                <w:sz w:val="21"/>
                <w:szCs w:val="21"/>
              </w:rPr>
              <w:t>已发生</w:t>
            </w:r>
            <w:r w:rsidR="001928BA" w:rsidRPr="00AB3872">
              <w:rPr>
                <w:rFonts w:hint="eastAsia"/>
                <w:b/>
                <w:bCs/>
                <w:sz w:val="21"/>
                <w:szCs w:val="21"/>
              </w:rPr>
              <w:t>金额（注）</w:t>
            </w:r>
          </w:p>
        </w:tc>
        <w:tc>
          <w:tcPr>
            <w:tcW w:w="1056" w:type="dxa"/>
            <w:vMerge w:val="restart"/>
            <w:vAlign w:val="center"/>
          </w:tcPr>
          <w:p w14:paraId="526FE2EB" w14:textId="77777777" w:rsidR="001928BA" w:rsidRPr="00AB3872" w:rsidRDefault="001928BA" w:rsidP="001928BA">
            <w:pPr>
              <w:jc w:val="center"/>
              <w:rPr>
                <w:b/>
                <w:bCs/>
                <w:sz w:val="21"/>
                <w:szCs w:val="21"/>
              </w:rPr>
            </w:pPr>
            <w:r w:rsidRPr="00AB3872">
              <w:rPr>
                <w:rFonts w:hint="eastAsia"/>
                <w:b/>
                <w:bCs/>
                <w:sz w:val="21"/>
                <w:szCs w:val="21"/>
              </w:rPr>
              <w:t>上年发生金额</w:t>
            </w:r>
          </w:p>
        </w:tc>
      </w:tr>
      <w:tr w:rsidR="001928BA" w:rsidRPr="00AB3872" w14:paraId="094FEF20" w14:textId="77777777" w:rsidTr="00AB3872">
        <w:trPr>
          <w:cantSplit/>
          <w:trHeight w:val="340"/>
          <w:tblHeader/>
        </w:trPr>
        <w:tc>
          <w:tcPr>
            <w:tcW w:w="647" w:type="dxa"/>
            <w:vMerge/>
            <w:shd w:val="clear" w:color="auto" w:fill="auto"/>
            <w:vAlign w:val="center"/>
            <w:hideMark/>
          </w:tcPr>
          <w:p w14:paraId="133BC055" w14:textId="77777777" w:rsidR="001928BA" w:rsidRPr="00AB3872" w:rsidRDefault="001928BA" w:rsidP="001928BA">
            <w:pPr>
              <w:jc w:val="center"/>
              <w:rPr>
                <w:b/>
                <w:bCs/>
                <w:sz w:val="21"/>
                <w:szCs w:val="21"/>
              </w:rPr>
            </w:pPr>
          </w:p>
        </w:tc>
        <w:tc>
          <w:tcPr>
            <w:tcW w:w="427" w:type="dxa"/>
            <w:vMerge/>
            <w:shd w:val="clear" w:color="auto" w:fill="auto"/>
            <w:vAlign w:val="center"/>
            <w:hideMark/>
          </w:tcPr>
          <w:p w14:paraId="764E287C" w14:textId="77777777" w:rsidR="001928BA" w:rsidRPr="00AB3872" w:rsidRDefault="001928BA" w:rsidP="001928BA">
            <w:pPr>
              <w:jc w:val="center"/>
              <w:rPr>
                <w:b/>
                <w:bCs/>
                <w:sz w:val="21"/>
                <w:szCs w:val="21"/>
              </w:rPr>
            </w:pPr>
          </w:p>
        </w:tc>
        <w:tc>
          <w:tcPr>
            <w:tcW w:w="646" w:type="dxa"/>
            <w:vMerge/>
            <w:shd w:val="clear" w:color="auto" w:fill="auto"/>
            <w:vAlign w:val="center"/>
          </w:tcPr>
          <w:p w14:paraId="2F741250" w14:textId="77777777" w:rsidR="001928BA" w:rsidRPr="00AB3872" w:rsidRDefault="001928BA" w:rsidP="001928BA">
            <w:pPr>
              <w:jc w:val="center"/>
              <w:rPr>
                <w:b/>
                <w:bCs/>
                <w:sz w:val="21"/>
                <w:szCs w:val="21"/>
              </w:rPr>
            </w:pPr>
          </w:p>
        </w:tc>
        <w:tc>
          <w:tcPr>
            <w:tcW w:w="770" w:type="dxa"/>
            <w:vMerge/>
            <w:shd w:val="clear" w:color="auto" w:fill="auto"/>
            <w:vAlign w:val="center"/>
          </w:tcPr>
          <w:p w14:paraId="12EF44E2" w14:textId="77777777" w:rsidR="001928BA" w:rsidRPr="00AB3872" w:rsidRDefault="001928BA" w:rsidP="001928BA">
            <w:pPr>
              <w:jc w:val="center"/>
              <w:rPr>
                <w:b/>
                <w:bCs/>
                <w:sz w:val="21"/>
                <w:szCs w:val="21"/>
              </w:rPr>
            </w:pPr>
          </w:p>
        </w:tc>
        <w:tc>
          <w:tcPr>
            <w:tcW w:w="899" w:type="dxa"/>
            <w:vAlign w:val="center"/>
          </w:tcPr>
          <w:p w14:paraId="00323FF6" w14:textId="77777777" w:rsidR="001928BA" w:rsidRPr="00AB3872" w:rsidRDefault="001928BA" w:rsidP="001928BA">
            <w:pPr>
              <w:jc w:val="center"/>
              <w:rPr>
                <w:b/>
                <w:bCs/>
                <w:sz w:val="21"/>
                <w:szCs w:val="21"/>
              </w:rPr>
            </w:pPr>
            <w:r w:rsidRPr="00AB3872">
              <w:rPr>
                <w:rFonts w:hint="eastAsia"/>
                <w:b/>
                <w:bCs/>
                <w:sz w:val="21"/>
                <w:szCs w:val="21"/>
              </w:rPr>
              <w:t>已披露的预计金额</w:t>
            </w:r>
          </w:p>
        </w:tc>
        <w:tc>
          <w:tcPr>
            <w:tcW w:w="923" w:type="dxa"/>
            <w:shd w:val="clear" w:color="auto" w:fill="auto"/>
            <w:vAlign w:val="center"/>
            <w:hideMark/>
          </w:tcPr>
          <w:p w14:paraId="22CC7A24" w14:textId="77777777" w:rsidR="001928BA" w:rsidRPr="00AB3872" w:rsidRDefault="001928BA" w:rsidP="001928BA">
            <w:pPr>
              <w:jc w:val="center"/>
              <w:rPr>
                <w:b/>
                <w:bCs/>
                <w:sz w:val="21"/>
                <w:szCs w:val="21"/>
              </w:rPr>
            </w:pPr>
            <w:r w:rsidRPr="00AB3872">
              <w:rPr>
                <w:b/>
                <w:bCs/>
                <w:sz w:val="21"/>
                <w:szCs w:val="21"/>
              </w:rPr>
              <w:t>新增预计金额</w:t>
            </w:r>
          </w:p>
        </w:tc>
        <w:tc>
          <w:tcPr>
            <w:tcW w:w="925" w:type="dxa"/>
            <w:vAlign w:val="center"/>
          </w:tcPr>
          <w:p w14:paraId="19766C48" w14:textId="77777777" w:rsidR="001928BA" w:rsidRPr="00AB3872" w:rsidRDefault="001928BA" w:rsidP="001928BA">
            <w:pPr>
              <w:jc w:val="center"/>
              <w:rPr>
                <w:b/>
                <w:bCs/>
                <w:sz w:val="21"/>
                <w:szCs w:val="21"/>
              </w:rPr>
            </w:pPr>
            <w:r w:rsidRPr="00AB3872">
              <w:rPr>
                <w:rFonts w:hint="eastAsia"/>
                <w:b/>
                <w:bCs/>
                <w:sz w:val="21"/>
                <w:szCs w:val="21"/>
              </w:rPr>
              <w:t>新增后预计金额</w:t>
            </w:r>
          </w:p>
        </w:tc>
        <w:tc>
          <w:tcPr>
            <w:tcW w:w="1284" w:type="dxa"/>
            <w:vMerge/>
            <w:vAlign w:val="center"/>
          </w:tcPr>
          <w:p w14:paraId="6F24C6AB" w14:textId="77777777" w:rsidR="001928BA" w:rsidRPr="00AB3872" w:rsidRDefault="001928BA" w:rsidP="001928BA">
            <w:pPr>
              <w:jc w:val="center"/>
              <w:rPr>
                <w:b/>
                <w:bCs/>
                <w:sz w:val="21"/>
                <w:szCs w:val="21"/>
              </w:rPr>
            </w:pPr>
          </w:p>
        </w:tc>
        <w:tc>
          <w:tcPr>
            <w:tcW w:w="1354" w:type="dxa"/>
            <w:vMerge/>
            <w:vAlign w:val="center"/>
          </w:tcPr>
          <w:p w14:paraId="70E67705" w14:textId="77777777" w:rsidR="001928BA" w:rsidRPr="00AB3872" w:rsidRDefault="001928BA" w:rsidP="001928BA">
            <w:pPr>
              <w:jc w:val="center"/>
              <w:rPr>
                <w:b/>
                <w:bCs/>
                <w:sz w:val="21"/>
                <w:szCs w:val="21"/>
              </w:rPr>
            </w:pPr>
          </w:p>
        </w:tc>
        <w:tc>
          <w:tcPr>
            <w:tcW w:w="1056" w:type="dxa"/>
            <w:vMerge/>
            <w:vAlign w:val="center"/>
          </w:tcPr>
          <w:p w14:paraId="5470E00B" w14:textId="77777777" w:rsidR="001928BA" w:rsidRPr="00AB3872" w:rsidRDefault="001928BA" w:rsidP="001928BA">
            <w:pPr>
              <w:jc w:val="center"/>
              <w:rPr>
                <w:b/>
                <w:bCs/>
                <w:sz w:val="21"/>
                <w:szCs w:val="21"/>
              </w:rPr>
            </w:pPr>
          </w:p>
        </w:tc>
      </w:tr>
      <w:tr w:rsidR="001928BA" w:rsidRPr="00AB3872" w14:paraId="2F017C01" w14:textId="77777777" w:rsidTr="00AB3872">
        <w:trPr>
          <w:cantSplit/>
          <w:trHeight w:val="340"/>
        </w:trPr>
        <w:tc>
          <w:tcPr>
            <w:tcW w:w="647" w:type="dxa"/>
            <w:vMerge w:val="restart"/>
            <w:shd w:val="clear" w:color="auto" w:fill="auto"/>
            <w:vAlign w:val="center"/>
          </w:tcPr>
          <w:p w14:paraId="5A954C08" w14:textId="77777777" w:rsidR="001928BA" w:rsidRPr="00AB3872" w:rsidRDefault="001928BA" w:rsidP="001928BA">
            <w:pPr>
              <w:jc w:val="center"/>
              <w:rPr>
                <w:sz w:val="21"/>
                <w:szCs w:val="21"/>
              </w:rPr>
            </w:pPr>
            <w:r w:rsidRPr="00AB3872">
              <w:rPr>
                <w:rFonts w:hint="eastAsia"/>
                <w:sz w:val="21"/>
                <w:szCs w:val="21"/>
              </w:rPr>
              <w:t>向关联</w:t>
            </w:r>
            <w:proofErr w:type="gramStart"/>
            <w:r w:rsidRPr="00AB3872">
              <w:rPr>
                <w:rFonts w:hint="eastAsia"/>
                <w:sz w:val="21"/>
                <w:szCs w:val="21"/>
              </w:rPr>
              <w:t>方销售</w:t>
            </w:r>
            <w:proofErr w:type="gramEnd"/>
            <w:r w:rsidRPr="00AB3872">
              <w:rPr>
                <w:rFonts w:hint="eastAsia"/>
                <w:sz w:val="21"/>
                <w:szCs w:val="21"/>
              </w:rPr>
              <w:t>商品</w:t>
            </w:r>
          </w:p>
        </w:tc>
        <w:tc>
          <w:tcPr>
            <w:tcW w:w="427" w:type="dxa"/>
            <w:shd w:val="clear" w:color="auto" w:fill="auto"/>
            <w:vAlign w:val="center"/>
          </w:tcPr>
          <w:p w14:paraId="2C92AB98" w14:textId="77777777" w:rsidR="001928BA" w:rsidRPr="00AB3872" w:rsidRDefault="001928BA" w:rsidP="001928BA">
            <w:pPr>
              <w:jc w:val="center"/>
              <w:rPr>
                <w:sz w:val="21"/>
                <w:szCs w:val="21"/>
              </w:rPr>
            </w:pPr>
            <w:r w:rsidRPr="00AB3872">
              <w:rPr>
                <w:rFonts w:hint="eastAsia"/>
                <w:sz w:val="21"/>
                <w:szCs w:val="21"/>
              </w:rPr>
              <w:t>上汽时代</w:t>
            </w:r>
          </w:p>
        </w:tc>
        <w:tc>
          <w:tcPr>
            <w:tcW w:w="646" w:type="dxa"/>
            <w:shd w:val="clear" w:color="auto" w:fill="auto"/>
            <w:vAlign w:val="center"/>
          </w:tcPr>
          <w:p w14:paraId="11CDB426" w14:textId="77777777" w:rsidR="001928BA" w:rsidRPr="00AB3872" w:rsidRDefault="001928BA" w:rsidP="001928BA">
            <w:pPr>
              <w:jc w:val="center"/>
              <w:rPr>
                <w:sz w:val="21"/>
                <w:szCs w:val="21"/>
              </w:rPr>
            </w:pPr>
            <w:r w:rsidRPr="00AB3872">
              <w:rPr>
                <w:rFonts w:hint="eastAsia"/>
                <w:sz w:val="21"/>
                <w:szCs w:val="21"/>
              </w:rPr>
              <w:t>动力电池</w:t>
            </w:r>
          </w:p>
        </w:tc>
        <w:tc>
          <w:tcPr>
            <w:tcW w:w="770" w:type="dxa"/>
            <w:shd w:val="clear" w:color="auto" w:fill="auto"/>
            <w:vAlign w:val="center"/>
          </w:tcPr>
          <w:p w14:paraId="1B84C5B0" w14:textId="77777777" w:rsidR="001928BA" w:rsidRPr="00AB3872" w:rsidRDefault="001928BA" w:rsidP="001928BA">
            <w:pPr>
              <w:jc w:val="center"/>
              <w:rPr>
                <w:sz w:val="21"/>
                <w:szCs w:val="21"/>
              </w:rPr>
            </w:pPr>
            <w:r w:rsidRPr="00AB3872">
              <w:rPr>
                <w:rFonts w:hint="eastAsia"/>
                <w:sz w:val="21"/>
                <w:szCs w:val="21"/>
              </w:rPr>
              <w:t>参照市场价格公允定价</w:t>
            </w:r>
          </w:p>
        </w:tc>
        <w:tc>
          <w:tcPr>
            <w:tcW w:w="899" w:type="dxa"/>
            <w:vAlign w:val="center"/>
          </w:tcPr>
          <w:p w14:paraId="4FA0A709" w14:textId="77777777" w:rsidR="001928BA" w:rsidRPr="00AB3872" w:rsidRDefault="001928BA" w:rsidP="001928BA">
            <w:pPr>
              <w:jc w:val="right"/>
              <w:rPr>
                <w:sz w:val="21"/>
                <w:szCs w:val="21"/>
              </w:rPr>
            </w:pPr>
            <w:r w:rsidRPr="00AB3872">
              <w:rPr>
                <w:sz w:val="21"/>
                <w:szCs w:val="21"/>
              </w:rPr>
              <w:t>100,000</w:t>
            </w:r>
          </w:p>
        </w:tc>
        <w:tc>
          <w:tcPr>
            <w:tcW w:w="923" w:type="dxa"/>
            <w:vAlign w:val="center"/>
          </w:tcPr>
          <w:p w14:paraId="6134E3A7" w14:textId="77777777" w:rsidR="001928BA" w:rsidRPr="00AB3872" w:rsidRDefault="001928BA" w:rsidP="001928BA">
            <w:pPr>
              <w:jc w:val="right"/>
              <w:rPr>
                <w:sz w:val="21"/>
                <w:szCs w:val="21"/>
              </w:rPr>
            </w:pPr>
            <w:r w:rsidRPr="00AB3872">
              <w:rPr>
                <w:sz w:val="21"/>
                <w:szCs w:val="21"/>
              </w:rPr>
              <w:t>120</w:t>
            </w:r>
            <w:r w:rsidRPr="00AB3872">
              <w:rPr>
                <w:rFonts w:hint="eastAsia"/>
                <w:sz w:val="21"/>
                <w:szCs w:val="21"/>
              </w:rPr>
              <w:t>,</w:t>
            </w:r>
            <w:r w:rsidRPr="00AB3872">
              <w:rPr>
                <w:sz w:val="21"/>
                <w:szCs w:val="21"/>
              </w:rPr>
              <w:t>000</w:t>
            </w:r>
          </w:p>
        </w:tc>
        <w:tc>
          <w:tcPr>
            <w:tcW w:w="925" w:type="dxa"/>
            <w:vAlign w:val="center"/>
          </w:tcPr>
          <w:p w14:paraId="450E6046" w14:textId="77777777" w:rsidR="001928BA" w:rsidRPr="00AB3872" w:rsidRDefault="001928BA" w:rsidP="001928BA">
            <w:pPr>
              <w:jc w:val="right"/>
              <w:rPr>
                <w:sz w:val="21"/>
                <w:szCs w:val="21"/>
              </w:rPr>
            </w:pPr>
            <w:r w:rsidRPr="00AB3872">
              <w:rPr>
                <w:rFonts w:hint="eastAsia"/>
                <w:sz w:val="21"/>
                <w:szCs w:val="21"/>
              </w:rPr>
              <w:t>2</w:t>
            </w:r>
            <w:r w:rsidRPr="00AB3872">
              <w:rPr>
                <w:sz w:val="21"/>
                <w:szCs w:val="21"/>
              </w:rPr>
              <w:t>20,000</w:t>
            </w:r>
          </w:p>
        </w:tc>
        <w:tc>
          <w:tcPr>
            <w:tcW w:w="1284" w:type="dxa"/>
            <w:vAlign w:val="center"/>
          </w:tcPr>
          <w:p w14:paraId="539038C4" w14:textId="77777777" w:rsidR="001928BA" w:rsidRPr="00AB3872" w:rsidRDefault="001928BA" w:rsidP="001928BA">
            <w:pPr>
              <w:jc w:val="right"/>
              <w:rPr>
                <w:sz w:val="21"/>
                <w:szCs w:val="21"/>
              </w:rPr>
            </w:pPr>
            <w:r w:rsidRPr="00AB3872">
              <w:rPr>
                <w:rFonts w:hint="eastAsia"/>
                <w:sz w:val="21"/>
                <w:szCs w:val="21"/>
              </w:rPr>
              <w:t>5</w:t>
            </w:r>
            <w:r w:rsidRPr="00AB3872">
              <w:rPr>
                <w:sz w:val="21"/>
                <w:szCs w:val="21"/>
              </w:rPr>
              <w:t>0,000</w:t>
            </w:r>
          </w:p>
        </w:tc>
        <w:tc>
          <w:tcPr>
            <w:tcW w:w="1354" w:type="dxa"/>
            <w:vAlign w:val="center"/>
          </w:tcPr>
          <w:p w14:paraId="5EDEA126" w14:textId="4DDD5C39" w:rsidR="001928BA" w:rsidRPr="00AB3872" w:rsidRDefault="00FC5764" w:rsidP="001928BA">
            <w:pPr>
              <w:jc w:val="right"/>
              <w:rPr>
                <w:sz w:val="21"/>
                <w:szCs w:val="21"/>
              </w:rPr>
            </w:pPr>
            <w:r w:rsidRPr="00AB3872">
              <w:rPr>
                <w:sz w:val="21"/>
                <w:szCs w:val="21"/>
              </w:rPr>
              <w:t>117</w:t>
            </w:r>
            <w:r w:rsidR="001928BA" w:rsidRPr="00AB3872">
              <w:rPr>
                <w:sz w:val="21"/>
                <w:szCs w:val="21"/>
              </w:rPr>
              <w:t>,</w:t>
            </w:r>
            <w:r w:rsidRPr="00AB3872">
              <w:rPr>
                <w:sz w:val="21"/>
                <w:szCs w:val="21"/>
              </w:rPr>
              <w:t>506</w:t>
            </w:r>
            <w:r w:rsidR="001928BA" w:rsidRPr="00AB3872">
              <w:rPr>
                <w:sz w:val="21"/>
                <w:szCs w:val="21"/>
              </w:rPr>
              <w:t>.</w:t>
            </w:r>
            <w:r w:rsidRPr="00AB3872">
              <w:rPr>
                <w:sz w:val="21"/>
                <w:szCs w:val="21"/>
              </w:rPr>
              <w:t>79</w:t>
            </w:r>
          </w:p>
        </w:tc>
        <w:tc>
          <w:tcPr>
            <w:tcW w:w="1056" w:type="dxa"/>
            <w:vAlign w:val="center"/>
          </w:tcPr>
          <w:p w14:paraId="1DD928DE" w14:textId="77777777" w:rsidR="001928BA" w:rsidRPr="00AB3872" w:rsidRDefault="001928BA" w:rsidP="001928BA">
            <w:pPr>
              <w:jc w:val="right"/>
              <w:rPr>
                <w:sz w:val="21"/>
                <w:szCs w:val="21"/>
              </w:rPr>
            </w:pPr>
            <w:r w:rsidRPr="00AB3872">
              <w:rPr>
                <w:sz w:val="21"/>
                <w:szCs w:val="21"/>
              </w:rPr>
              <w:t>57,887.01</w:t>
            </w:r>
          </w:p>
        </w:tc>
      </w:tr>
      <w:tr w:rsidR="001928BA" w:rsidRPr="00AB3872" w14:paraId="31DB5F66" w14:textId="77777777" w:rsidTr="00AB3872">
        <w:trPr>
          <w:cantSplit/>
          <w:trHeight w:val="340"/>
        </w:trPr>
        <w:tc>
          <w:tcPr>
            <w:tcW w:w="647" w:type="dxa"/>
            <w:vMerge/>
            <w:shd w:val="clear" w:color="auto" w:fill="auto"/>
            <w:vAlign w:val="center"/>
          </w:tcPr>
          <w:p w14:paraId="66FF0468" w14:textId="77777777" w:rsidR="001928BA" w:rsidRPr="00AB3872" w:rsidRDefault="001928BA" w:rsidP="001928BA">
            <w:pPr>
              <w:jc w:val="center"/>
              <w:rPr>
                <w:sz w:val="21"/>
                <w:szCs w:val="21"/>
              </w:rPr>
            </w:pPr>
          </w:p>
        </w:tc>
        <w:tc>
          <w:tcPr>
            <w:tcW w:w="427" w:type="dxa"/>
            <w:shd w:val="clear" w:color="auto" w:fill="auto"/>
            <w:vAlign w:val="center"/>
          </w:tcPr>
          <w:p w14:paraId="60590603" w14:textId="77777777" w:rsidR="001928BA" w:rsidRPr="00AB3872" w:rsidRDefault="001928BA" w:rsidP="001928BA">
            <w:pPr>
              <w:jc w:val="center"/>
              <w:rPr>
                <w:sz w:val="21"/>
                <w:szCs w:val="21"/>
              </w:rPr>
            </w:pPr>
            <w:r w:rsidRPr="00AB3872">
              <w:rPr>
                <w:rFonts w:hint="eastAsia"/>
                <w:sz w:val="21"/>
                <w:szCs w:val="21"/>
              </w:rPr>
              <w:t>时代科士达</w:t>
            </w:r>
          </w:p>
        </w:tc>
        <w:tc>
          <w:tcPr>
            <w:tcW w:w="646" w:type="dxa"/>
            <w:shd w:val="clear" w:color="auto" w:fill="auto"/>
            <w:vAlign w:val="center"/>
          </w:tcPr>
          <w:p w14:paraId="52488112" w14:textId="77777777" w:rsidR="001928BA" w:rsidRPr="00AB3872" w:rsidRDefault="001928BA" w:rsidP="001928BA">
            <w:pPr>
              <w:jc w:val="center"/>
              <w:rPr>
                <w:sz w:val="21"/>
                <w:szCs w:val="21"/>
              </w:rPr>
            </w:pPr>
            <w:r w:rsidRPr="00AB3872">
              <w:rPr>
                <w:rFonts w:hint="eastAsia"/>
                <w:sz w:val="21"/>
                <w:szCs w:val="21"/>
              </w:rPr>
              <w:t>储能电池</w:t>
            </w:r>
          </w:p>
        </w:tc>
        <w:tc>
          <w:tcPr>
            <w:tcW w:w="770" w:type="dxa"/>
            <w:shd w:val="clear" w:color="auto" w:fill="auto"/>
            <w:vAlign w:val="center"/>
          </w:tcPr>
          <w:p w14:paraId="428C8387" w14:textId="77777777" w:rsidR="001928BA" w:rsidRPr="00AB3872" w:rsidRDefault="001928BA" w:rsidP="001928BA">
            <w:pPr>
              <w:jc w:val="center"/>
              <w:rPr>
                <w:sz w:val="21"/>
                <w:szCs w:val="21"/>
              </w:rPr>
            </w:pPr>
            <w:r w:rsidRPr="00AB3872">
              <w:rPr>
                <w:rFonts w:hint="eastAsia"/>
                <w:sz w:val="21"/>
                <w:szCs w:val="21"/>
              </w:rPr>
              <w:t>参照市场价格公允定价</w:t>
            </w:r>
          </w:p>
        </w:tc>
        <w:tc>
          <w:tcPr>
            <w:tcW w:w="899" w:type="dxa"/>
            <w:vAlign w:val="center"/>
          </w:tcPr>
          <w:p w14:paraId="239EB2C7" w14:textId="77777777" w:rsidR="001928BA" w:rsidRPr="00AB3872" w:rsidRDefault="001928BA" w:rsidP="001928BA">
            <w:pPr>
              <w:jc w:val="right"/>
              <w:rPr>
                <w:sz w:val="21"/>
                <w:szCs w:val="21"/>
              </w:rPr>
            </w:pPr>
            <w:r w:rsidRPr="00AB3872">
              <w:rPr>
                <w:sz w:val="21"/>
                <w:szCs w:val="21"/>
              </w:rPr>
              <w:t>31,000</w:t>
            </w:r>
          </w:p>
        </w:tc>
        <w:tc>
          <w:tcPr>
            <w:tcW w:w="923" w:type="dxa"/>
            <w:vAlign w:val="center"/>
          </w:tcPr>
          <w:p w14:paraId="1A3D42E1" w14:textId="77777777" w:rsidR="001928BA" w:rsidRPr="00AB3872" w:rsidRDefault="001928BA" w:rsidP="001928BA">
            <w:pPr>
              <w:jc w:val="right"/>
              <w:rPr>
                <w:sz w:val="21"/>
                <w:szCs w:val="21"/>
              </w:rPr>
            </w:pPr>
            <w:r w:rsidRPr="00AB3872">
              <w:rPr>
                <w:sz w:val="21"/>
                <w:szCs w:val="21"/>
              </w:rPr>
              <w:t>39,000</w:t>
            </w:r>
          </w:p>
        </w:tc>
        <w:tc>
          <w:tcPr>
            <w:tcW w:w="925" w:type="dxa"/>
            <w:vAlign w:val="center"/>
          </w:tcPr>
          <w:p w14:paraId="3B3B6943" w14:textId="77777777" w:rsidR="001928BA" w:rsidRPr="00AB3872" w:rsidRDefault="001928BA" w:rsidP="001928BA">
            <w:pPr>
              <w:jc w:val="right"/>
              <w:rPr>
                <w:sz w:val="21"/>
                <w:szCs w:val="21"/>
              </w:rPr>
            </w:pPr>
            <w:r w:rsidRPr="00AB3872">
              <w:rPr>
                <w:sz w:val="21"/>
                <w:szCs w:val="21"/>
              </w:rPr>
              <w:t>70,000</w:t>
            </w:r>
          </w:p>
        </w:tc>
        <w:tc>
          <w:tcPr>
            <w:tcW w:w="1284" w:type="dxa"/>
            <w:vAlign w:val="center"/>
          </w:tcPr>
          <w:p w14:paraId="7141F9AB" w14:textId="77777777" w:rsidR="001928BA" w:rsidRPr="00AB3872" w:rsidRDefault="001928BA" w:rsidP="001928BA">
            <w:pPr>
              <w:jc w:val="right"/>
              <w:rPr>
                <w:sz w:val="21"/>
                <w:szCs w:val="21"/>
              </w:rPr>
            </w:pPr>
            <w:r w:rsidRPr="00AB3872">
              <w:rPr>
                <w:sz w:val="21"/>
                <w:szCs w:val="21"/>
              </w:rPr>
              <w:t>40,000</w:t>
            </w:r>
          </w:p>
        </w:tc>
        <w:tc>
          <w:tcPr>
            <w:tcW w:w="1354" w:type="dxa"/>
            <w:vAlign w:val="center"/>
          </w:tcPr>
          <w:p w14:paraId="0B13F628" w14:textId="77777777" w:rsidR="001928BA" w:rsidRPr="00AB3872" w:rsidRDefault="001928BA" w:rsidP="001928BA">
            <w:pPr>
              <w:jc w:val="right"/>
              <w:rPr>
                <w:sz w:val="21"/>
                <w:szCs w:val="21"/>
              </w:rPr>
            </w:pPr>
            <w:r w:rsidRPr="00AB3872">
              <w:rPr>
                <w:sz w:val="21"/>
                <w:szCs w:val="21"/>
              </w:rPr>
              <w:t>40,014.24</w:t>
            </w:r>
          </w:p>
        </w:tc>
        <w:tc>
          <w:tcPr>
            <w:tcW w:w="1056" w:type="dxa"/>
            <w:vAlign w:val="center"/>
          </w:tcPr>
          <w:p w14:paraId="17D718B4" w14:textId="77777777" w:rsidR="001928BA" w:rsidRPr="00AB3872" w:rsidRDefault="001928BA" w:rsidP="001928BA">
            <w:pPr>
              <w:jc w:val="right"/>
              <w:rPr>
                <w:sz w:val="21"/>
                <w:szCs w:val="21"/>
              </w:rPr>
            </w:pPr>
            <w:r w:rsidRPr="00AB3872">
              <w:rPr>
                <w:sz w:val="21"/>
                <w:szCs w:val="21"/>
              </w:rPr>
              <w:t>1,458.80</w:t>
            </w:r>
          </w:p>
        </w:tc>
      </w:tr>
      <w:tr w:rsidR="001928BA" w:rsidRPr="00AB3872" w14:paraId="66D0FCCD" w14:textId="77777777" w:rsidTr="00AB3872">
        <w:trPr>
          <w:cantSplit/>
          <w:trHeight w:val="340"/>
        </w:trPr>
        <w:tc>
          <w:tcPr>
            <w:tcW w:w="2490" w:type="dxa"/>
            <w:gridSpan w:val="4"/>
            <w:shd w:val="clear" w:color="auto" w:fill="auto"/>
            <w:vAlign w:val="center"/>
          </w:tcPr>
          <w:p w14:paraId="47E793C3" w14:textId="77777777" w:rsidR="001928BA" w:rsidRPr="00AB3872" w:rsidRDefault="001928BA" w:rsidP="001928BA">
            <w:pPr>
              <w:jc w:val="center"/>
              <w:rPr>
                <w:sz w:val="21"/>
                <w:szCs w:val="21"/>
              </w:rPr>
            </w:pPr>
            <w:r w:rsidRPr="00AB3872">
              <w:rPr>
                <w:rFonts w:hint="eastAsia"/>
                <w:sz w:val="21"/>
                <w:szCs w:val="21"/>
              </w:rPr>
              <w:t>合计</w:t>
            </w:r>
          </w:p>
        </w:tc>
        <w:tc>
          <w:tcPr>
            <w:tcW w:w="899" w:type="dxa"/>
            <w:shd w:val="clear" w:color="auto" w:fill="auto"/>
            <w:vAlign w:val="bottom"/>
          </w:tcPr>
          <w:p w14:paraId="1A1C732A" w14:textId="77777777" w:rsidR="001928BA" w:rsidRPr="00AB3872" w:rsidRDefault="001928BA" w:rsidP="001928BA">
            <w:pPr>
              <w:jc w:val="right"/>
              <w:rPr>
                <w:sz w:val="21"/>
                <w:szCs w:val="21"/>
              </w:rPr>
            </w:pPr>
            <w:r w:rsidRPr="00AB3872">
              <w:rPr>
                <w:rFonts w:hint="eastAsia"/>
                <w:sz w:val="21"/>
                <w:szCs w:val="21"/>
              </w:rPr>
              <w:t>131,000</w:t>
            </w:r>
          </w:p>
        </w:tc>
        <w:tc>
          <w:tcPr>
            <w:tcW w:w="923" w:type="dxa"/>
            <w:shd w:val="clear" w:color="auto" w:fill="auto"/>
            <w:vAlign w:val="bottom"/>
          </w:tcPr>
          <w:p w14:paraId="507AC522" w14:textId="77777777" w:rsidR="001928BA" w:rsidRPr="00AB3872" w:rsidDel="00253F41" w:rsidRDefault="001928BA" w:rsidP="001928BA">
            <w:pPr>
              <w:jc w:val="right"/>
              <w:rPr>
                <w:sz w:val="21"/>
                <w:szCs w:val="21"/>
              </w:rPr>
            </w:pPr>
            <w:r w:rsidRPr="00AB3872">
              <w:rPr>
                <w:rFonts w:hint="eastAsia"/>
                <w:sz w:val="21"/>
                <w:szCs w:val="21"/>
              </w:rPr>
              <w:t>1</w:t>
            </w:r>
            <w:r w:rsidRPr="00AB3872">
              <w:rPr>
                <w:sz w:val="21"/>
                <w:szCs w:val="21"/>
              </w:rPr>
              <w:t>5</w:t>
            </w:r>
            <w:r w:rsidRPr="00AB3872">
              <w:rPr>
                <w:rFonts w:hint="eastAsia"/>
                <w:sz w:val="21"/>
                <w:szCs w:val="21"/>
              </w:rPr>
              <w:t>9,000</w:t>
            </w:r>
          </w:p>
        </w:tc>
        <w:tc>
          <w:tcPr>
            <w:tcW w:w="925" w:type="dxa"/>
            <w:shd w:val="clear" w:color="auto" w:fill="auto"/>
            <w:vAlign w:val="bottom"/>
          </w:tcPr>
          <w:p w14:paraId="10E99002" w14:textId="77777777" w:rsidR="001928BA" w:rsidRPr="00AB3872" w:rsidRDefault="001928BA" w:rsidP="001928BA">
            <w:pPr>
              <w:jc w:val="right"/>
              <w:rPr>
                <w:sz w:val="21"/>
                <w:szCs w:val="21"/>
              </w:rPr>
            </w:pPr>
            <w:r w:rsidRPr="00AB3872">
              <w:rPr>
                <w:rFonts w:hint="eastAsia"/>
                <w:sz w:val="21"/>
                <w:szCs w:val="21"/>
              </w:rPr>
              <w:t>290,000</w:t>
            </w:r>
          </w:p>
        </w:tc>
        <w:tc>
          <w:tcPr>
            <w:tcW w:w="1284" w:type="dxa"/>
            <w:shd w:val="clear" w:color="auto" w:fill="auto"/>
            <w:vAlign w:val="bottom"/>
          </w:tcPr>
          <w:p w14:paraId="6B464A5B" w14:textId="77777777" w:rsidR="001928BA" w:rsidRPr="00AB3872" w:rsidRDefault="001928BA" w:rsidP="001928BA">
            <w:pPr>
              <w:jc w:val="right"/>
              <w:rPr>
                <w:sz w:val="21"/>
                <w:szCs w:val="21"/>
              </w:rPr>
            </w:pPr>
            <w:r w:rsidRPr="00AB3872">
              <w:rPr>
                <w:rFonts w:hint="eastAsia"/>
                <w:sz w:val="21"/>
                <w:szCs w:val="21"/>
              </w:rPr>
              <w:t>90,000</w:t>
            </w:r>
          </w:p>
        </w:tc>
        <w:tc>
          <w:tcPr>
            <w:tcW w:w="1354" w:type="dxa"/>
            <w:vAlign w:val="center"/>
          </w:tcPr>
          <w:p w14:paraId="029F76A7" w14:textId="4027D08C" w:rsidR="001928BA" w:rsidRPr="00AB3872" w:rsidRDefault="00FC5764" w:rsidP="001928BA">
            <w:pPr>
              <w:jc w:val="right"/>
              <w:rPr>
                <w:sz w:val="21"/>
                <w:szCs w:val="21"/>
              </w:rPr>
            </w:pPr>
            <w:r w:rsidRPr="00AB3872">
              <w:rPr>
                <w:sz w:val="21"/>
                <w:szCs w:val="21"/>
              </w:rPr>
              <w:t>157,521,03</w:t>
            </w:r>
          </w:p>
        </w:tc>
        <w:tc>
          <w:tcPr>
            <w:tcW w:w="1056" w:type="dxa"/>
            <w:vAlign w:val="center"/>
          </w:tcPr>
          <w:p w14:paraId="3A97A63B" w14:textId="77777777" w:rsidR="001928BA" w:rsidRPr="00AB3872" w:rsidRDefault="001928BA" w:rsidP="001928BA">
            <w:pPr>
              <w:jc w:val="right"/>
              <w:rPr>
                <w:sz w:val="21"/>
                <w:szCs w:val="21"/>
              </w:rPr>
            </w:pPr>
            <w:r w:rsidRPr="00AB3872">
              <w:rPr>
                <w:sz w:val="21"/>
                <w:szCs w:val="21"/>
              </w:rPr>
              <w:t>59,345.81</w:t>
            </w:r>
          </w:p>
        </w:tc>
      </w:tr>
    </w:tbl>
    <w:p w14:paraId="458F516D" w14:textId="7DB870FE" w:rsidR="00640B39" w:rsidRPr="00AB3872" w:rsidRDefault="00640B39" w:rsidP="00640B39">
      <w:pPr>
        <w:autoSpaceDE w:val="0"/>
        <w:autoSpaceDN w:val="0"/>
        <w:spacing w:line="360" w:lineRule="auto"/>
        <w:ind w:firstLineChars="200" w:firstLine="420"/>
        <w:rPr>
          <w:rFonts w:eastAsiaTheme="minorEastAsia"/>
          <w:sz w:val="21"/>
          <w:szCs w:val="21"/>
        </w:rPr>
      </w:pPr>
      <w:r w:rsidRPr="00AB3872">
        <w:rPr>
          <w:rFonts w:eastAsiaTheme="minorEastAsia" w:hint="eastAsia"/>
          <w:sz w:val="21"/>
          <w:szCs w:val="21"/>
        </w:rPr>
        <w:t>注：</w:t>
      </w:r>
      <w:r w:rsidR="0042274E">
        <w:rPr>
          <w:rFonts w:eastAsiaTheme="minorEastAsia" w:hint="eastAsia"/>
          <w:sz w:val="21"/>
          <w:szCs w:val="21"/>
        </w:rPr>
        <w:t>上表中</w:t>
      </w:r>
      <w:r w:rsidRPr="00AB3872">
        <w:rPr>
          <w:rFonts w:eastAsiaTheme="minorEastAsia" w:hint="eastAsia"/>
          <w:sz w:val="21"/>
          <w:szCs w:val="21"/>
        </w:rPr>
        <w:t>“截至</w:t>
      </w:r>
      <w:r w:rsidR="0042274E" w:rsidRPr="0042274E">
        <w:rPr>
          <w:rFonts w:eastAsiaTheme="minorEastAsia" w:hint="eastAsia"/>
          <w:sz w:val="21"/>
          <w:szCs w:val="21"/>
        </w:rPr>
        <w:t>2022</w:t>
      </w:r>
      <w:r w:rsidR="0042274E" w:rsidRPr="0042274E">
        <w:rPr>
          <w:rFonts w:eastAsiaTheme="minorEastAsia" w:hint="eastAsia"/>
          <w:sz w:val="21"/>
          <w:szCs w:val="21"/>
        </w:rPr>
        <w:t>年</w:t>
      </w:r>
      <w:r w:rsidR="0042274E" w:rsidRPr="0042274E">
        <w:rPr>
          <w:rFonts w:eastAsiaTheme="minorEastAsia" w:hint="eastAsia"/>
          <w:sz w:val="21"/>
          <w:szCs w:val="21"/>
        </w:rPr>
        <w:t>9</w:t>
      </w:r>
      <w:r w:rsidR="0042274E" w:rsidRPr="0042274E">
        <w:rPr>
          <w:rFonts w:eastAsiaTheme="minorEastAsia" w:hint="eastAsia"/>
          <w:sz w:val="21"/>
          <w:szCs w:val="21"/>
        </w:rPr>
        <w:t>月</w:t>
      </w:r>
      <w:r w:rsidR="0042274E" w:rsidRPr="0042274E">
        <w:rPr>
          <w:rFonts w:eastAsiaTheme="minorEastAsia" w:hint="eastAsia"/>
          <w:sz w:val="21"/>
          <w:szCs w:val="21"/>
        </w:rPr>
        <w:t>30</w:t>
      </w:r>
      <w:r w:rsidR="0042274E" w:rsidRPr="0042274E">
        <w:rPr>
          <w:rFonts w:eastAsiaTheme="minorEastAsia" w:hint="eastAsia"/>
          <w:sz w:val="21"/>
          <w:szCs w:val="21"/>
        </w:rPr>
        <w:t>日</w:t>
      </w:r>
      <w:r w:rsidRPr="00AB3872">
        <w:rPr>
          <w:rFonts w:eastAsiaTheme="minorEastAsia" w:hint="eastAsia"/>
          <w:sz w:val="21"/>
          <w:szCs w:val="21"/>
        </w:rPr>
        <w:t>已发生金额”为已开票的不含税金额。</w:t>
      </w:r>
    </w:p>
    <w:p w14:paraId="30EF8426" w14:textId="77777777" w:rsidR="004E7CF0" w:rsidRPr="00AB3872" w:rsidRDefault="004E7CF0" w:rsidP="00E06FA9">
      <w:pPr>
        <w:autoSpaceDE w:val="0"/>
        <w:autoSpaceDN w:val="0"/>
        <w:spacing w:beforeLines="50" w:before="156" w:line="360" w:lineRule="auto"/>
        <w:ind w:firstLineChars="200" w:firstLine="482"/>
        <w:outlineLvl w:val="0"/>
        <w:rPr>
          <w:rFonts w:eastAsiaTheme="minorEastAsia"/>
          <w:b/>
          <w:color w:val="000000"/>
        </w:rPr>
      </w:pPr>
      <w:r w:rsidRPr="00AB3872">
        <w:rPr>
          <w:rFonts w:eastAsiaTheme="minorEastAsia"/>
          <w:b/>
          <w:color w:val="000000"/>
        </w:rPr>
        <w:t>二、关联人介绍与关联关系</w:t>
      </w:r>
    </w:p>
    <w:p w14:paraId="075F76DF" w14:textId="05579379" w:rsidR="001928BA" w:rsidRPr="00AB3872" w:rsidRDefault="001928BA" w:rsidP="001928BA">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hint="eastAsia"/>
          <w:b/>
          <w:color w:val="000000"/>
        </w:rPr>
        <w:t>（一）</w:t>
      </w:r>
      <w:r w:rsidRPr="00AB3872">
        <w:rPr>
          <w:b/>
          <w:szCs w:val="24"/>
        </w:rPr>
        <w:t>上汽时代动力电池系统有限公司</w:t>
      </w:r>
    </w:p>
    <w:p w14:paraId="71A7C065" w14:textId="78279EB1" w:rsidR="001928BA" w:rsidRPr="00AB3872" w:rsidRDefault="001928BA" w:rsidP="001928BA">
      <w:pPr>
        <w:snapToGrid w:val="0"/>
        <w:spacing w:beforeLines="50" w:before="156" w:line="360" w:lineRule="auto"/>
        <w:ind w:firstLineChars="200" w:firstLine="480"/>
        <w:rPr>
          <w:szCs w:val="24"/>
        </w:rPr>
      </w:pPr>
      <w:r w:rsidRPr="00AB3872">
        <w:rPr>
          <w:szCs w:val="24"/>
        </w:rPr>
        <w:t>1</w:t>
      </w:r>
      <w:r w:rsidRPr="00AB3872">
        <w:rPr>
          <w:rFonts w:hint="eastAsia"/>
          <w:szCs w:val="24"/>
        </w:rPr>
        <w:t>、基本情况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259"/>
      </w:tblGrid>
      <w:tr w:rsidR="001928BA" w:rsidRPr="00AB3872" w14:paraId="75461FAD" w14:textId="77777777" w:rsidTr="001E1C68">
        <w:trPr>
          <w:cantSplit/>
          <w:trHeight w:val="340"/>
        </w:trPr>
        <w:tc>
          <w:tcPr>
            <w:tcW w:w="1228" w:type="pct"/>
            <w:shd w:val="clear" w:color="auto" w:fill="auto"/>
            <w:vAlign w:val="center"/>
          </w:tcPr>
          <w:p w14:paraId="4B8CCB97" w14:textId="77777777" w:rsidR="001928BA" w:rsidRPr="00AB3872" w:rsidRDefault="001928BA" w:rsidP="001E1C68">
            <w:pPr>
              <w:autoSpaceDE w:val="0"/>
              <w:autoSpaceDN w:val="0"/>
              <w:adjustRightInd w:val="0"/>
              <w:outlineLvl w:val="1"/>
              <w:rPr>
                <w:sz w:val="21"/>
                <w:szCs w:val="21"/>
              </w:rPr>
            </w:pPr>
            <w:r w:rsidRPr="00AB3872">
              <w:rPr>
                <w:sz w:val="21"/>
                <w:szCs w:val="21"/>
              </w:rPr>
              <w:t>公司名称</w:t>
            </w:r>
          </w:p>
        </w:tc>
        <w:tc>
          <w:tcPr>
            <w:tcW w:w="3772" w:type="pct"/>
            <w:shd w:val="clear" w:color="auto" w:fill="auto"/>
            <w:vAlign w:val="center"/>
          </w:tcPr>
          <w:p w14:paraId="736B4515" w14:textId="77777777" w:rsidR="001928BA" w:rsidRPr="00AB3872" w:rsidRDefault="001928BA" w:rsidP="001E1C68">
            <w:pPr>
              <w:widowControl/>
              <w:rPr>
                <w:sz w:val="21"/>
                <w:szCs w:val="21"/>
              </w:rPr>
            </w:pPr>
            <w:r w:rsidRPr="00AB3872">
              <w:rPr>
                <w:sz w:val="21"/>
                <w:szCs w:val="21"/>
              </w:rPr>
              <w:t>上汽时代动力电池系统有限公司</w:t>
            </w:r>
          </w:p>
        </w:tc>
      </w:tr>
      <w:tr w:rsidR="001928BA" w:rsidRPr="00AB3872" w14:paraId="0A649AC3" w14:textId="77777777" w:rsidTr="001E1C68">
        <w:trPr>
          <w:cantSplit/>
          <w:trHeight w:val="340"/>
        </w:trPr>
        <w:tc>
          <w:tcPr>
            <w:tcW w:w="1228" w:type="pct"/>
            <w:shd w:val="clear" w:color="auto" w:fill="auto"/>
            <w:vAlign w:val="center"/>
          </w:tcPr>
          <w:p w14:paraId="1E3A232A" w14:textId="77777777" w:rsidR="001928BA" w:rsidRPr="00AB3872" w:rsidRDefault="001928BA" w:rsidP="001E1C68">
            <w:pPr>
              <w:autoSpaceDE w:val="0"/>
              <w:autoSpaceDN w:val="0"/>
              <w:adjustRightInd w:val="0"/>
              <w:outlineLvl w:val="1"/>
              <w:rPr>
                <w:sz w:val="21"/>
                <w:szCs w:val="21"/>
              </w:rPr>
            </w:pPr>
            <w:r w:rsidRPr="00AB3872">
              <w:rPr>
                <w:sz w:val="21"/>
                <w:szCs w:val="21"/>
              </w:rPr>
              <w:t>统一社会信用代码</w:t>
            </w:r>
          </w:p>
        </w:tc>
        <w:tc>
          <w:tcPr>
            <w:tcW w:w="3772" w:type="pct"/>
            <w:shd w:val="clear" w:color="auto" w:fill="auto"/>
            <w:vAlign w:val="center"/>
          </w:tcPr>
          <w:p w14:paraId="3763CAB7" w14:textId="77777777" w:rsidR="001928BA" w:rsidRPr="00AB3872" w:rsidRDefault="001928BA" w:rsidP="001E1C68">
            <w:pPr>
              <w:widowControl/>
              <w:rPr>
                <w:sz w:val="21"/>
                <w:szCs w:val="21"/>
              </w:rPr>
            </w:pPr>
            <w:r w:rsidRPr="00AB3872">
              <w:rPr>
                <w:sz w:val="21"/>
                <w:szCs w:val="21"/>
              </w:rPr>
              <w:t>91320481MA1P5JL63D</w:t>
            </w:r>
          </w:p>
        </w:tc>
      </w:tr>
      <w:tr w:rsidR="001928BA" w:rsidRPr="00AB3872" w14:paraId="6C45E080" w14:textId="77777777" w:rsidTr="001E1C68">
        <w:trPr>
          <w:cantSplit/>
          <w:trHeight w:val="340"/>
        </w:trPr>
        <w:tc>
          <w:tcPr>
            <w:tcW w:w="1228" w:type="pct"/>
            <w:shd w:val="clear" w:color="auto" w:fill="auto"/>
            <w:vAlign w:val="center"/>
          </w:tcPr>
          <w:p w14:paraId="5091DADE" w14:textId="77777777" w:rsidR="001928BA" w:rsidRPr="00AB3872" w:rsidRDefault="001928BA" w:rsidP="001E1C68">
            <w:pPr>
              <w:autoSpaceDE w:val="0"/>
              <w:autoSpaceDN w:val="0"/>
              <w:adjustRightInd w:val="0"/>
              <w:outlineLvl w:val="1"/>
              <w:rPr>
                <w:sz w:val="21"/>
                <w:szCs w:val="21"/>
              </w:rPr>
            </w:pPr>
            <w:r w:rsidRPr="00AB3872">
              <w:rPr>
                <w:sz w:val="21"/>
                <w:szCs w:val="21"/>
              </w:rPr>
              <w:t>成立日期</w:t>
            </w:r>
          </w:p>
        </w:tc>
        <w:tc>
          <w:tcPr>
            <w:tcW w:w="3772" w:type="pct"/>
            <w:shd w:val="clear" w:color="auto" w:fill="auto"/>
            <w:vAlign w:val="center"/>
          </w:tcPr>
          <w:p w14:paraId="0686610D" w14:textId="77777777" w:rsidR="001928BA" w:rsidRPr="00AB3872" w:rsidRDefault="001928BA" w:rsidP="001E1C68">
            <w:pPr>
              <w:widowControl/>
              <w:rPr>
                <w:sz w:val="21"/>
                <w:szCs w:val="21"/>
              </w:rPr>
            </w:pPr>
            <w:r w:rsidRPr="00AB3872">
              <w:rPr>
                <w:sz w:val="21"/>
                <w:szCs w:val="21"/>
              </w:rPr>
              <w:t>2017</w:t>
            </w:r>
            <w:r w:rsidRPr="00AB3872">
              <w:rPr>
                <w:sz w:val="21"/>
                <w:szCs w:val="21"/>
              </w:rPr>
              <w:t>年</w:t>
            </w:r>
            <w:r w:rsidRPr="00AB3872">
              <w:rPr>
                <w:sz w:val="21"/>
                <w:szCs w:val="21"/>
              </w:rPr>
              <w:t>6</w:t>
            </w:r>
            <w:r w:rsidRPr="00AB3872">
              <w:rPr>
                <w:sz w:val="21"/>
                <w:szCs w:val="21"/>
              </w:rPr>
              <w:t>月</w:t>
            </w:r>
            <w:r w:rsidRPr="00AB3872">
              <w:rPr>
                <w:sz w:val="21"/>
                <w:szCs w:val="21"/>
              </w:rPr>
              <w:t>8</w:t>
            </w:r>
            <w:r w:rsidRPr="00AB3872">
              <w:rPr>
                <w:sz w:val="21"/>
                <w:szCs w:val="21"/>
              </w:rPr>
              <w:t>日</w:t>
            </w:r>
          </w:p>
        </w:tc>
      </w:tr>
      <w:tr w:rsidR="001928BA" w:rsidRPr="00AB3872" w14:paraId="3D5DFC0A" w14:textId="77777777" w:rsidTr="001E1C68">
        <w:trPr>
          <w:cantSplit/>
          <w:trHeight w:val="340"/>
        </w:trPr>
        <w:tc>
          <w:tcPr>
            <w:tcW w:w="1228" w:type="pct"/>
            <w:shd w:val="clear" w:color="auto" w:fill="auto"/>
            <w:vAlign w:val="center"/>
          </w:tcPr>
          <w:p w14:paraId="4FC271DB" w14:textId="77777777" w:rsidR="001928BA" w:rsidRPr="00AB3872" w:rsidRDefault="001928BA" w:rsidP="001E1C68">
            <w:pPr>
              <w:autoSpaceDE w:val="0"/>
              <w:autoSpaceDN w:val="0"/>
              <w:adjustRightInd w:val="0"/>
              <w:outlineLvl w:val="1"/>
              <w:rPr>
                <w:sz w:val="21"/>
                <w:szCs w:val="21"/>
              </w:rPr>
            </w:pPr>
            <w:r w:rsidRPr="00AB3872">
              <w:rPr>
                <w:sz w:val="21"/>
                <w:szCs w:val="21"/>
              </w:rPr>
              <w:t>公司住所</w:t>
            </w:r>
          </w:p>
        </w:tc>
        <w:tc>
          <w:tcPr>
            <w:tcW w:w="3772" w:type="pct"/>
            <w:shd w:val="clear" w:color="auto" w:fill="auto"/>
            <w:vAlign w:val="center"/>
          </w:tcPr>
          <w:p w14:paraId="7196B300" w14:textId="77777777" w:rsidR="001928BA" w:rsidRPr="00AB3872" w:rsidRDefault="001928BA" w:rsidP="001E1C68">
            <w:pPr>
              <w:widowControl/>
              <w:rPr>
                <w:sz w:val="21"/>
                <w:szCs w:val="21"/>
              </w:rPr>
            </w:pPr>
            <w:r w:rsidRPr="00AB3872">
              <w:rPr>
                <w:sz w:val="21"/>
                <w:szCs w:val="21"/>
              </w:rPr>
              <w:t>溧阳市昆仑街道城北大道</w:t>
            </w:r>
            <w:r w:rsidRPr="00AB3872">
              <w:rPr>
                <w:sz w:val="21"/>
                <w:szCs w:val="21"/>
              </w:rPr>
              <w:t>999</w:t>
            </w:r>
            <w:r w:rsidRPr="00AB3872">
              <w:rPr>
                <w:sz w:val="21"/>
                <w:szCs w:val="21"/>
              </w:rPr>
              <w:t>号</w:t>
            </w:r>
          </w:p>
        </w:tc>
      </w:tr>
      <w:tr w:rsidR="001928BA" w:rsidRPr="00AB3872" w14:paraId="4FA2252F" w14:textId="77777777" w:rsidTr="001E1C68">
        <w:trPr>
          <w:cantSplit/>
          <w:trHeight w:val="340"/>
        </w:trPr>
        <w:tc>
          <w:tcPr>
            <w:tcW w:w="1228" w:type="pct"/>
            <w:shd w:val="clear" w:color="auto" w:fill="auto"/>
            <w:vAlign w:val="center"/>
          </w:tcPr>
          <w:p w14:paraId="599ADAFB" w14:textId="77777777" w:rsidR="001928BA" w:rsidRPr="00AB3872" w:rsidRDefault="001928BA" w:rsidP="001E1C68">
            <w:pPr>
              <w:autoSpaceDE w:val="0"/>
              <w:autoSpaceDN w:val="0"/>
              <w:adjustRightInd w:val="0"/>
              <w:outlineLvl w:val="1"/>
              <w:rPr>
                <w:sz w:val="21"/>
                <w:szCs w:val="21"/>
              </w:rPr>
            </w:pPr>
            <w:r w:rsidRPr="00AB3872">
              <w:rPr>
                <w:sz w:val="21"/>
                <w:szCs w:val="21"/>
              </w:rPr>
              <w:t>法定代表人</w:t>
            </w:r>
          </w:p>
        </w:tc>
        <w:tc>
          <w:tcPr>
            <w:tcW w:w="3772" w:type="pct"/>
            <w:shd w:val="clear" w:color="auto" w:fill="auto"/>
            <w:vAlign w:val="center"/>
          </w:tcPr>
          <w:p w14:paraId="24CFB6BD" w14:textId="77777777" w:rsidR="001928BA" w:rsidRPr="00AB3872" w:rsidRDefault="001928BA" w:rsidP="001E1C68">
            <w:pPr>
              <w:widowControl/>
              <w:rPr>
                <w:sz w:val="21"/>
                <w:szCs w:val="21"/>
              </w:rPr>
            </w:pPr>
            <w:r w:rsidRPr="00AB3872">
              <w:rPr>
                <w:sz w:val="21"/>
                <w:szCs w:val="21"/>
              </w:rPr>
              <w:t>杨晓东</w:t>
            </w:r>
          </w:p>
        </w:tc>
      </w:tr>
      <w:tr w:rsidR="001928BA" w:rsidRPr="00AB3872" w14:paraId="2B98AB20" w14:textId="77777777" w:rsidTr="001E1C68">
        <w:trPr>
          <w:cantSplit/>
          <w:trHeight w:val="340"/>
        </w:trPr>
        <w:tc>
          <w:tcPr>
            <w:tcW w:w="1228" w:type="pct"/>
            <w:shd w:val="clear" w:color="auto" w:fill="auto"/>
            <w:vAlign w:val="center"/>
          </w:tcPr>
          <w:p w14:paraId="1A796294" w14:textId="77777777" w:rsidR="001928BA" w:rsidRPr="00AB3872" w:rsidRDefault="001928BA" w:rsidP="001E1C68">
            <w:pPr>
              <w:autoSpaceDE w:val="0"/>
              <w:autoSpaceDN w:val="0"/>
              <w:adjustRightInd w:val="0"/>
              <w:outlineLvl w:val="1"/>
              <w:rPr>
                <w:sz w:val="21"/>
                <w:szCs w:val="21"/>
              </w:rPr>
            </w:pPr>
            <w:r w:rsidRPr="00AB3872">
              <w:rPr>
                <w:sz w:val="21"/>
                <w:szCs w:val="21"/>
              </w:rPr>
              <w:t>注册资本</w:t>
            </w:r>
          </w:p>
        </w:tc>
        <w:tc>
          <w:tcPr>
            <w:tcW w:w="3772" w:type="pct"/>
            <w:shd w:val="clear" w:color="auto" w:fill="auto"/>
            <w:vAlign w:val="center"/>
          </w:tcPr>
          <w:p w14:paraId="3DC78DD3" w14:textId="77777777" w:rsidR="001928BA" w:rsidRPr="00AB3872" w:rsidRDefault="001928BA" w:rsidP="001E1C68">
            <w:pPr>
              <w:widowControl/>
              <w:rPr>
                <w:sz w:val="21"/>
                <w:szCs w:val="21"/>
              </w:rPr>
            </w:pPr>
            <w:r w:rsidRPr="00AB3872">
              <w:rPr>
                <w:sz w:val="21"/>
                <w:szCs w:val="21"/>
              </w:rPr>
              <w:t>30,000</w:t>
            </w:r>
            <w:r w:rsidRPr="00AB3872">
              <w:rPr>
                <w:sz w:val="21"/>
                <w:szCs w:val="21"/>
              </w:rPr>
              <w:t>万元人民币</w:t>
            </w:r>
          </w:p>
        </w:tc>
      </w:tr>
      <w:tr w:rsidR="001928BA" w:rsidRPr="00AB3872" w14:paraId="155681D4" w14:textId="77777777" w:rsidTr="001E1C68">
        <w:trPr>
          <w:cantSplit/>
          <w:trHeight w:val="340"/>
        </w:trPr>
        <w:tc>
          <w:tcPr>
            <w:tcW w:w="1228" w:type="pct"/>
            <w:shd w:val="clear" w:color="auto" w:fill="auto"/>
            <w:vAlign w:val="center"/>
          </w:tcPr>
          <w:p w14:paraId="1AE9AB71" w14:textId="77777777" w:rsidR="001928BA" w:rsidRPr="00AB3872" w:rsidRDefault="001928BA" w:rsidP="001E1C68">
            <w:pPr>
              <w:autoSpaceDE w:val="0"/>
              <w:autoSpaceDN w:val="0"/>
              <w:adjustRightInd w:val="0"/>
              <w:outlineLvl w:val="1"/>
              <w:rPr>
                <w:sz w:val="21"/>
                <w:szCs w:val="21"/>
              </w:rPr>
            </w:pPr>
            <w:r w:rsidRPr="00AB3872">
              <w:rPr>
                <w:sz w:val="21"/>
                <w:szCs w:val="21"/>
              </w:rPr>
              <w:t>经营范围</w:t>
            </w:r>
          </w:p>
        </w:tc>
        <w:tc>
          <w:tcPr>
            <w:tcW w:w="3772" w:type="pct"/>
            <w:shd w:val="clear" w:color="auto" w:fill="auto"/>
            <w:vAlign w:val="center"/>
          </w:tcPr>
          <w:p w14:paraId="1162C61A" w14:textId="77777777" w:rsidR="001928BA" w:rsidRPr="00AB3872" w:rsidRDefault="001928BA" w:rsidP="001E1C68">
            <w:pPr>
              <w:widowControl/>
              <w:rPr>
                <w:sz w:val="21"/>
                <w:szCs w:val="21"/>
              </w:rPr>
            </w:pPr>
            <w:r w:rsidRPr="00AB3872">
              <w:rPr>
                <w:rFonts w:hint="eastAsia"/>
                <w:sz w:val="21"/>
                <w:szCs w:val="21"/>
              </w:rPr>
              <w:t>动力电池模块和系统的开发、生产及销售；模具销售；动力电池专业技术领域内的技术开发、技术转让、技术咨询、技术服务。（依法须经批准的项目，经相关部门批准后方可开展经营活动）</w:t>
            </w:r>
            <w:r w:rsidRPr="00AB3872">
              <w:rPr>
                <w:rFonts w:hint="eastAsia"/>
                <w:sz w:val="21"/>
                <w:szCs w:val="21"/>
              </w:rPr>
              <w:t xml:space="preserve"> </w:t>
            </w:r>
            <w:r w:rsidRPr="00AB3872">
              <w:rPr>
                <w:rFonts w:hint="eastAsia"/>
                <w:sz w:val="21"/>
                <w:szCs w:val="21"/>
              </w:rPr>
              <w:t>许可项目：技术进出口；货物进出口；进出口代理（依法须经批准的项目，经相关部门批准后方可开展经营活动，具体经营项目以审批结果为准）</w:t>
            </w:r>
          </w:p>
        </w:tc>
      </w:tr>
      <w:tr w:rsidR="001928BA" w:rsidRPr="00AB3872" w14:paraId="3E84F06C" w14:textId="77777777" w:rsidTr="001E1C68">
        <w:trPr>
          <w:cantSplit/>
          <w:trHeight w:val="340"/>
        </w:trPr>
        <w:tc>
          <w:tcPr>
            <w:tcW w:w="1228" w:type="pct"/>
            <w:shd w:val="clear" w:color="auto" w:fill="auto"/>
            <w:vAlign w:val="center"/>
          </w:tcPr>
          <w:p w14:paraId="32BF6634" w14:textId="77777777" w:rsidR="001928BA" w:rsidRPr="00AB3872" w:rsidRDefault="001928BA" w:rsidP="001E1C68">
            <w:pPr>
              <w:autoSpaceDE w:val="0"/>
              <w:autoSpaceDN w:val="0"/>
              <w:adjustRightInd w:val="0"/>
              <w:outlineLvl w:val="1"/>
              <w:rPr>
                <w:sz w:val="21"/>
                <w:szCs w:val="21"/>
              </w:rPr>
            </w:pPr>
            <w:r w:rsidRPr="00AB3872">
              <w:rPr>
                <w:sz w:val="21"/>
                <w:szCs w:val="21"/>
              </w:rPr>
              <w:t>股权结构</w:t>
            </w:r>
          </w:p>
        </w:tc>
        <w:tc>
          <w:tcPr>
            <w:tcW w:w="3772" w:type="pct"/>
            <w:shd w:val="clear" w:color="auto" w:fill="auto"/>
            <w:vAlign w:val="center"/>
          </w:tcPr>
          <w:p w14:paraId="73C0979A" w14:textId="77777777" w:rsidR="001928BA" w:rsidRPr="00AB3872" w:rsidRDefault="001928BA" w:rsidP="001E1C68">
            <w:pPr>
              <w:autoSpaceDE w:val="0"/>
              <w:autoSpaceDN w:val="0"/>
              <w:adjustRightInd w:val="0"/>
              <w:outlineLvl w:val="1"/>
              <w:rPr>
                <w:sz w:val="21"/>
                <w:szCs w:val="21"/>
              </w:rPr>
            </w:pPr>
            <w:r w:rsidRPr="00AB3872">
              <w:rPr>
                <w:sz w:val="21"/>
                <w:szCs w:val="21"/>
              </w:rPr>
              <w:t>上海汽车集团投资管理有限公司持股</w:t>
            </w:r>
            <w:r w:rsidRPr="00AB3872">
              <w:rPr>
                <w:sz w:val="21"/>
                <w:szCs w:val="21"/>
              </w:rPr>
              <w:t>51%</w:t>
            </w:r>
            <w:r w:rsidRPr="00AB3872">
              <w:rPr>
                <w:sz w:val="21"/>
                <w:szCs w:val="21"/>
              </w:rPr>
              <w:t>，公司持股</w:t>
            </w:r>
            <w:r w:rsidRPr="00AB3872">
              <w:rPr>
                <w:sz w:val="21"/>
                <w:szCs w:val="21"/>
              </w:rPr>
              <w:t>49%</w:t>
            </w:r>
          </w:p>
        </w:tc>
      </w:tr>
    </w:tbl>
    <w:p w14:paraId="6660E04C" w14:textId="77777777" w:rsidR="00640B39" w:rsidRPr="00AB3872" w:rsidRDefault="00640B39" w:rsidP="00640B39">
      <w:pPr>
        <w:snapToGrid w:val="0"/>
        <w:spacing w:beforeLines="50" w:before="156" w:line="360" w:lineRule="auto"/>
        <w:ind w:firstLineChars="200" w:firstLine="480"/>
        <w:rPr>
          <w:szCs w:val="24"/>
        </w:rPr>
      </w:pPr>
      <w:r w:rsidRPr="00AB3872">
        <w:rPr>
          <w:szCs w:val="24"/>
        </w:rPr>
        <w:t>2</w:t>
      </w:r>
      <w:r w:rsidRPr="00AB3872">
        <w:rPr>
          <w:szCs w:val="24"/>
        </w:rPr>
        <w:t>、</w:t>
      </w:r>
      <w:r w:rsidRPr="00AB3872">
        <w:rPr>
          <w:szCs w:val="24"/>
        </w:rPr>
        <w:t>2022</w:t>
      </w:r>
      <w:r w:rsidRPr="00AB3872">
        <w:rPr>
          <w:rFonts w:hint="eastAsia"/>
          <w:szCs w:val="24"/>
        </w:rPr>
        <w:t>年</w:t>
      </w:r>
      <w:r w:rsidRPr="00AB3872">
        <w:rPr>
          <w:rFonts w:hint="eastAsia"/>
          <w:szCs w:val="24"/>
        </w:rPr>
        <w:t>1</w:t>
      </w:r>
      <w:r w:rsidRPr="00AB3872">
        <w:rPr>
          <w:szCs w:val="24"/>
        </w:rPr>
        <w:t>-6</w:t>
      </w:r>
      <w:r w:rsidRPr="00AB3872">
        <w:rPr>
          <w:rFonts w:hint="eastAsia"/>
          <w:szCs w:val="24"/>
        </w:rPr>
        <w:t>月</w:t>
      </w:r>
      <w:r w:rsidRPr="00AB3872">
        <w:rPr>
          <w:szCs w:val="24"/>
        </w:rPr>
        <w:t>主要财务数据（</w:t>
      </w:r>
      <w:r w:rsidRPr="00AB3872">
        <w:rPr>
          <w:rFonts w:hint="eastAsia"/>
          <w:szCs w:val="24"/>
        </w:rPr>
        <w:t>未</w:t>
      </w:r>
      <w:r w:rsidRPr="00AB3872">
        <w:rPr>
          <w:szCs w:val="24"/>
        </w:rPr>
        <w:t>经审计）：</w:t>
      </w:r>
      <w:r w:rsidRPr="00AB3872">
        <w:rPr>
          <w:rFonts w:hint="eastAsia"/>
          <w:szCs w:val="24"/>
        </w:rPr>
        <w:t>截至</w:t>
      </w:r>
      <w:r w:rsidRPr="00AB3872">
        <w:rPr>
          <w:rFonts w:hint="eastAsia"/>
          <w:szCs w:val="24"/>
        </w:rPr>
        <w:t>202</w:t>
      </w:r>
      <w:r w:rsidRPr="00AB3872">
        <w:rPr>
          <w:szCs w:val="24"/>
        </w:rPr>
        <w:t>2</w:t>
      </w:r>
      <w:r w:rsidRPr="00AB3872">
        <w:rPr>
          <w:rFonts w:hint="eastAsia"/>
          <w:szCs w:val="24"/>
        </w:rPr>
        <w:t>年</w:t>
      </w:r>
      <w:r w:rsidRPr="00AB3872">
        <w:rPr>
          <w:szCs w:val="24"/>
        </w:rPr>
        <w:t>6</w:t>
      </w:r>
      <w:r w:rsidRPr="00AB3872">
        <w:rPr>
          <w:rFonts w:hint="eastAsia"/>
          <w:szCs w:val="24"/>
        </w:rPr>
        <w:t>月</w:t>
      </w:r>
      <w:r w:rsidRPr="00AB3872">
        <w:rPr>
          <w:rFonts w:hint="eastAsia"/>
          <w:szCs w:val="24"/>
        </w:rPr>
        <w:t>3</w:t>
      </w:r>
      <w:r w:rsidRPr="00AB3872">
        <w:rPr>
          <w:szCs w:val="24"/>
        </w:rPr>
        <w:t>0</w:t>
      </w:r>
      <w:r w:rsidRPr="00AB3872">
        <w:rPr>
          <w:rFonts w:hint="eastAsia"/>
          <w:szCs w:val="24"/>
        </w:rPr>
        <w:t>日总资产</w:t>
      </w:r>
      <w:r w:rsidRPr="00AB3872">
        <w:rPr>
          <w:szCs w:val="24"/>
        </w:rPr>
        <w:t>167,335.74</w:t>
      </w:r>
      <w:r w:rsidRPr="00AB3872">
        <w:rPr>
          <w:rFonts w:hint="eastAsia"/>
          <w:szCs w:val="24"/>
        </w:rPr>
        <w:t>万元，净资产</w:t>
      </w:r>
      <w:r w:rsidRPr="00AB3872">
        <w:rPr>
          <w:szCs w:val="24"/>
        </w:rPr>
        <w:t>50,430.11</w:t>
      </w:r>
      <w:r w:rsidRPr="00AB3872">
        <w:rPr>
          <w:rFonts w:hint="eastAsia"/>
          <w:szCs w:val="24"/>
        </w:rPr>
        <w:t>万元；</w:t>
      </w:r>
      <w:r w:rsidRPr="00AB3872">
        <w:rPr>
          <w:rFonts w:hint="eastAsia"/>
          <w:szCs w:val="24"/>
        </w:rPr>
        <w:t>202</w:t>
      </w:r>
      <w:r w:rsidRPr="00AB3872">
        <w:rPr>
          <w:szCs w:val="24"/>
        </w:rPr>
        <w:t>2</w:t>
      </w:r>
      <w:r w:rsidRPr="00AB3872">
        <w:rPr>
          <w:rFonts w:hint="eastAsia"/>
          <w:szCs w:val="24"/>
        </w:rPr>
        <w:t>年</w:t>
      </w:r>
      <w:r w:rsidRPr="00AB3872">
        <w:rPr>
          <w:rFonts w:hint="eastAsia"/>
          <w:szCs w:val="24"/>
        </w:rPr>
        <w:t>1</w:t>
      </w:r>
      <w:r w:rsidRPr="00AB3872">
        <w:rPr>
          <w:szCs w:val="24"/>
        </w:rPr>
        <w:t>-6</w:t>
      </w:r>
      <w:r w:rsidRPr="00AB3872">
        <w:rPr>
          <w:rFonts w:hint="eastAsia"/>
          <w:szCs w:val="24"/>
        </w:rPr>
        <w:t>月营业收入</w:t>
      </w:r>
      <w:r w:rsidRPr="00AB3872">
        <w:rPr>
          <w:szCs w:val="24"/>
        </w:rPr>
        <w:t>110,458.72</w:t>
      </w:r>
      <w:r w:rsidRPr="00AB3872">
        <w:rPr>
          <w:rFonts w:hint="eastAsia"/>
          <w:szCs w:val="24"/>
        </w:rPr>
        <w:t>万元，净利润</w:t>
      </w:r>
      <w:r w:rsidRPr="00AB3872">
        <w:rPr>
          <w:szCs w:val="24"/>
        </w:rPr>
        <w:t>5,911.47</w:t>
      </w:r>
      <w:r w:rsidRPr="00AB3872">
        <w:rPr>
          <w:rFonts w:hint="eastAsia"/>
          <w:szCs w:val="24"/>
        </w:rPr>
        <w:t>万元。</w:t>
      </w:r>
    </w:p>
    <w:p w14:paraId="0ECA67DB" w14:textId="15402980" w:rsidR="001928BA" w:rsidRPr="00AB3872" w:rsidRDefault="001928BA" w:rsidP="001928BA">
      <w:pPr>
        <w:snapToGrid w:val="0"/>
        <w:spacing w:beforeLines="50" w:before="156" w:line="360" w:lineRule="auto"/>
        <w:ind w:firstLineChars="200" w:firstLine="480"/>
        <w:rPr>
          <w:szCs w:val="24"/>
        </w:rPr>
      </w:pPr>
      <w:r w:rsidRPr="00AB3872">
        <w:rPr>
          <w:szCs w:val="24"/>
        </w:rPr>
        <w:lastRenderedPageBreak/>
        <w:t>3</w:t>
      </w:r>
      <w:r w:rsidRPr="00AB3872">
        <w:rPr>
          <w:rFonts w:hint="eastAsia"/>
          <w:szCs w:val="24"/>
        </w:rPr>
        <w:t>、关联关系说明：</w:t>
      </w:r>
      <w:r w:rsidR="00DA68DF" w:rsidRPr="00DA68DF">
        <w:rPr>
          <w:rFonts w:hint="eastAsia"/>
          <w:szCs w:val="24"/>
        </w:rPr>
        <w:t>公司副董事长周佳先生、董事</w:t>
      </w:r>
      <w:r w:rsidR="00DA68DF" w:rsidRPr="00DA68DF">
        <w:rPr>
          <w:rFonts w:hint="eastAsia"/>
          <w:szCs w:val="24"/>
        </w:rPr>
        <w:t>/</w:t>
      </w:r>
      <w:r w:rsidR="00DA68DF" w:rsidRPr="00DA68DF">
        <w:rPr>
          <w:rFonts w:hint="eastAsia"/>
          <w:szCs w:val="24"/>
        </w:rPr>
        <w:t>副总经理吴凯</w:t>
      </w:r>
      <w:r w:rsidR="00DA68DF">
        <w:rPr>
          <w:rFonts w:hint="eastAsia"/>
          <w:szCs w:val="24"/>
        </w:rPr>
        <w:t>先生担任上汽时代董事，监事会主席吴映明先生担任上汽时代副总经理</w:t>
      </w:r>
      <w:r w:rsidRPr="00AB3872">
        <w:rPr>
          <w:szCs w:val="24"/>
        </w:rPr>
        <w:t>，符合《深圳证券交易所创业板股票上市规则》</w:t>
      </w:r>
      <w:r w:rsidRPr="00AB3872">
        <w:rPr>
          <w:szCs w:val="24"/>
        </w:rPr>
        <w:t>7.2.3</w:t>
      </w:r>
      <w:r w:rsidRPr="00AB3872">
        <w:rPr>
          <w:szCs w:val="24"/>
        </w:rPr>
        <w:t>条规定的情形。因此，上汽时代为公司的关联法人。</w:t>
      </w:r>
    </w:p>
    <w:p w14:paraId="05FEEACB" w14:textId="77777777" w:rsidR="001928BA" w:rsidRPr="00AB3872" w:rsidRDefault="001928BA" w:rsidP="001928BA">
      <w:pPr>
        <w:snapToGrid w:val="0"/>
        <w:spacing w:beforeLines="50" w:before="156" w:line="360" w:lineRule="auto"/>
        <w:ind w:firstLineChars="200" w:firstLine="480"/>
        <w:rPr>
          <w:szCs w:val="24"/>
        </w:rPr>
      </w:pPr>
      <w:r w:rsidRPr="00AB3872">
        <w:rPr>
          <w:szCs w:val="24"/>
        </w:rPr>
        <w:t>4</w:t>
      </w:r>
      <w:r w:rsidRPr="00AB3872">
        <w:rPr>
          <w:rFonts w:hint="eastAsia"/>
          <w:szCs w:val="24"/>
        </w:rPr>
        <w:t>、履约能力分析：</w:t>
      </w:r>
      <w:r w:rsidRPr="00AB3872">
        <w:rPr>
          <w:szCs w:val="24"/>
        </w:rPr>
        <w:t>上汽时代自成立以来依法存续，目前经营正常，具备较好的履约能力。经核查，上汽时代不属于失信被执行人。</w:t>
      </w:r>
    </w:p>
    <w:p w14:paraId="1F8223FF" w14:textId="30126C96" w:rsidR="001928BA" w:rsidRPr="00AB3872" w:rsidRDefault="001928BA"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hint="eastAsia"/>
          <w:b/>
          <w:color w:val="000000"/>
        </w:rPr>
        <w:t>（二）宁德时代科士达科技有限公司</w:t>
      </w:r>
    </w:p>
    <w:p w14:paraId="5EABB498" w14:textId="77777777" w:rsidR="001928BA" w:rsidRPr="00AB3872" w:rsidRDefault="001928BA" w:rsidP="001928BA">
      <w:pPr>
        <w:snapToGrid w:val="0"/>
        <w:spacing w:beforeLines="50" w:before="156" w:line="360" w:lineRule="auto"/>
        <w:ind w:firstLineChars="200" w:firstLine="482"/>
        <w:rPr>
          <w:b/>
          <w:bCs/>
          <w:szCs w:val="24"/>
        </w:rPr>
      </w:pPr>
      <w:r w:rsidRPr="00AB3872">
        <w:rPr>
          <w:b/>
          <w:bCs/>
          <w:szCs w:val="24"/>
        </w:rPr>
        <w:t>1</w:t>
      </w:r>
      <w:r w:rsidRPr="00AB3872">
        <w:rPr>
          <w:rFonts w:hint="eastAsia"/>
          <w:b/>
          <w:bCs/>
          <w:szCs w:val="24"/>
        </w:rPr>
        <w:t>、基本情况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396"/>
      </w:tblGrid>
      <w:tr w:rsidR="001928BA" w:rsidRPr="00AB3872" w14:paraId="45CE7DF6" w14:textId="77777777" w:rsidTr="001E1C68">
        <w:trPr>
          <w:cantSplit/>
          <w:trHeight w:val="284"/>
        </w:trPr>
        <w:tc>
          <w:tcPr>
            <w:tcW w:w="1145" w:type="pct"/>
            <w:shd w:val="clear" w:color="auto" w:fill="auto"/>
            <w:vAlign w:val="center"/>
          </w:tcPr>
          <w:p w14:paraId="7C3C0594" w14:textId="77777777" w:rsidR="001928BA" w:rsidRPr="00AB3872" w:rsidRDefault="001928BA" w:rsidP="001E1C68">
            <w:pPr>
              <w:autoSpaceDE w:val="0"/>
              <w:autoSpaceDN w:val="0"/>
              <w:adjustRightInd w:val="0"/>
              <w:outlineLvl w:val="1"/>
              <w:rPr>
                <w:sz w:val="21"/>
                <w:szCs w:val="21"/>
              </w:rPr>
            </w:pPr>
            <w:r w:rsidRPr="00AB3872">
              <w:rPr>
                <w:sz w:val="21"/>
                <w:szCs w:val="21"/>
              </w:rPr>
              <w:t>公司名称</w:t>
            </w:r>
          </w:p>
        </w:tc>
        <w:tc>
          <w:tcPr>
            <w:tcW w:w="3855" w:type="pct"/>
            <w:shd w:val="clear" w:color="auto" w:fill="auto"/>
            <w:vAlign w:val="center"/>
          </w:tcPr>
          <w:p w14:paraId="25AF0138" w14:textId="77777777" w:rsidR="001928BA" w:rsidRPr="00AB3872" w:rsidRDefault="001928BA" w:rsidP="001E1C68">
            <w:pPr>
              <w:widowControl/>
              <w:rPr>
                <w:sz w:val="21"/>
                <w:szCs w:val="21"/>
              </w:rPr>
            </w:pPr>
            <w:r w:rsidRPr="00AB3872">
              <w:rPr>
                <w:sz w:val="21"/>
                <w:szCs w:val="21"/>
              </w:rPr>
              <w:t>宁德时代科士达科技有限公司</w:t>
            </w:r>
          </w:p>
        </w:tc>
      </w:tr>
      <w:tr w:rsidR="001928BA" w:rsidRPr="00AB3872" w14:paraId="31EDCC71" w14:textId="77777777" w:rsidTr="001E1C68">
        <w:trPr>
          <w:cantSplit/>
          <w:trHeight w:val="284"/>
        </w:trPr>
        <w:tc>
          <w:tcPr>
            <w:tcW w:w="1145" w:type="pct"/>
            <w:shd w:val="clear" w:color="auto" w:fill="auto"/>
            <w:vAlign w:val="center"/>
          </w:tcPr>
          <w:p w14:paraId="1DC31E30" w14:textId="77777777" w:rsidR="001928BA" w:rsidRPr="00AB3872" w:rsidRDefault="001928BA" w:rsidP="001E1C68">
            <w:pPr>
              <w:autoSpaceDE w:val="0"/>
              <w:autoSpaceDN w:val="0"/>
              <w:adjustRightInd w:val="0"/>
              <w:outlineLvl w:val="1"/>
              <w:rPr>
                <w:sz w:val="21"/>
                <w:szCs w:val="21"/>
              </w:rPr>
            </w:pPr>
            <w:r w:rsidRPr="00AB3872">
              <w:rPr>
                <w:sz w:val="21"/>
                <w:szCs w:val="21"/>
              </w:rPr>
              <w:t>统一社会信用代码</w:t>
            </w:r>
          </w:p>
        </w:tc>
        <w:tc>
          <w:tcPr>
            <w:tcW w:w="3855" w:type="pct"/>
            <w:shd w:val="clear" w:color="auto" w:fill="auto"/>
            <w:vAlign w:val="center"/>
          </w:tcPr>
          <w:p w14:paraId="6169C66A" w14:textId="77777777" w:rsidR="001928BA" w:rsidRPr="00AB3872" w:rsidRDefault="001928BA" w:rsidP="001E1C68">
            <w:pPr>
              <w:widowControl/>
              <w:rPr>
                <w:sz w:val="21"/>
                <w:szCs w:val="21"/>
              </w:rPr>
            </w:pPr>
            <w:r w:rsidRPr="00AB3872">
              <w:rPr>
                <w:sz w:val="21"/>
                <w:szCs w:val="21"/>
              </w:rPr>
              <w:t>91350921MA331QH260</w:t>
            </w:r>
          </w:p>
        </w:tc>
      </w:tr>
      <w:tr w:rsidR="001928BA" w:rsidRPr="00AB3872" w14:paraId="6CE4A398" w14:textId="77777777" w:rsidTr="001E1C68">
        <w:trPr>
          <w:cantSplit/>
          <w:trHeight w:val="284"/>
        </w:trPr>
        <w:tc>
          <w:tcPr>
            <w:tcW w:w="1145" w:type="pct"/>
            <w:shd w:val="clear" w:color="auto" w:fill="auto"/>
            <w:vAlign w:val="center"/>
          </w:tcPr>
          <w:p w14:paraId="0AC8CF2A" w14:textId="77777777" w:rsidR="001928BA" w:rsidRPr="00AB3872" w:rsidRDefault="001928BA" w:rsidP="001E1C68">
            <w:pPr>
              <w:autoSpaceDE w:val="0"/>
              <w:autoSpaceDN w:val="0"/>
              <w:adjustRightInd w:val="0"/>
              <w:outlineLvl w:val="1"/>
              <w:rPr>
                <w:sz w:val="21"/>
                <w:szCs w:val="21"/>
              </w:rPr>
            </w:pPr>
            <w:r w:rsidRPr="00AB3872">
              <w:rPr>
                <w:sz w:val="21"/>
                <w:szCs w:val="21"/>
              </w:rPr>
              <w:t>成立日期</w:t>
            </w:r>
          </w:p>
        </w:tc>
        <w:tc>
          <w:tcPr>
            <w:tcW w:w="3855" w:type="pct"/>
            <w:shd w:val="clear" w:color="auto" w:fill="auto"/>
            <w:vAlign w:val="center"/>
          </w:tcPr>
          <w:p w14:paraId="54C03601" w14:textId="77777777" w:rsidR="001928BA" w:rsidRPr="00AB3872" w:rsidRDefault="001928BA" w:rsidP="001E1C68">
            <w:pPr>
              <w:widowControl/>
              <w:rPr>
                <w:sz w:val="21"/>
                <w:szCs w:val="21"/>
              </w:rPr>
            </w:pPr>
            <w:r w:rsidRPr="00AB3872">
              <w:rPr>
                <w:sz w:val="21"/>
                <w:szCs w:val="21"/>
              </w:rPr>
              <w:t>2019</w:t>
            </w:r>
            <w:r w:rsidRPr="00AB3872">
              <w:rPr>
                <w:sz w:val="21"/>
                <w:szCs w:val="21"/>
              </w:rPr>
              <w:t>年</w:t>
            </w:r>
            <w:r w:rsidRPr="00AB3872">
              <w:rPr>
                <w:sz w:val="21"/>
                <w:szCs w:val="21"/>
              </w:rPr>
              <w:t>7</w:t>
            </w:r>
            <w:r w:rsidRPr="00AB3872">
              <w:rPr>
                <w:sz w:val="21"/>
                <w:szCs w:val="21"/>
              </w:rPr>
              <w:t>月</w:t>
            </w:r>
            <w:r w:rsidRPr="00AB3872">
              <w:rPr>
                <w:sz w:val="21"/>
                <w:szCs w:val="21"/>
              </w:rPr>
              <w:t>15</w:t>
            </w:r>
            <w:r w:rsidRPr="00AB3872">
              <w:rPr>
                <w:sz w:val="21"/>
                <w:szCs w:val="21"/>
              </w:rPr>
              <w:t>日</w:t>
            </w:r>
          </w:p>
        </w:tc>
      </w:tr>
      <w:tr w:rsidR="001928BA" w:rsidRPr="00AB3872" w14:paraId="549540F5" w14:textId="77777777" w:rsidTr="001E1C68">
        <w:trPr>
          <w:cantSplit/>
          <w:trHeight w:val="284"/>
        </w:trPr>
        <w:tc>
          <w:tcPr>
            <w:tcW w:w="1145" w:type="pct"/>
            <w:shd w:val="clear" w:color="auto" w:fill="auto"/>
            <w:vAlign w:val="center"/>
          </w:tcPr>
          <w:p w14:paraId="1A64F941" w14:textId="77777777" w:rsidR="001928BA" w:rsidRPr="00AB3872" w:rsidRDefault="001928BA" w:rsidP="001E1C68">
            <w:pPr>
              <w:autoSpaceDE w:val="0"/>
              <w:autoSpaceDN w:val="0"/>
              <w:adjustRightInd w:val="0"/>
              <w:outlineLvl w:val="1"/>
              <w:rPr>
                <w:sz w:val="21"/>
                <w:szCs w:val="21"/>
              </w:rPr>
            </w:pPr>
            <w:r w:rsidRPr="00AB3872">
              <w:rPr>
                <w:sz w:val="21"/>
                <w:szCs w:val="21"/>
              </w:rPr>
              <w:t>公司住所</w:t>
            </w:r>
          </w:p>
        </w:tc>
        <w:tc>
          <w:tcPr>
            <w:tcW w:w="3855" w:type="pct"/>
            <w:shd w:val="clear" w:color="auto" w:fill="auto"/>
            <w:vAlign w:val="center"/>
          </w:tcPr>
          <w:p w14:paraId="2EBAEFFB" w14:textId="77777777" w:rsidR="001928BA" w:rsidRPr="00AB3872" w:rsidRDefault="001928BA" w:rsidP="001E1C68">
            <w:pPr>
              <w:widowControl/>
              <w:rPr>
                <w:sz w:val="21"/>
                <w:szCs w:val="21"/>
              </w:rPr>
            </w:pPr>
            <w:r w:rsidRPr="00AB3872">
              <w:rPr>
                <w:sz w:val="21"/>
                <w:szCs w:val="21"/>
              </w:rPr>
              <w:t>霞浦经济开发区松山路</w:t>
            </w:r>
            <w:r w:rsidRPr="00AB3872">
              <w:rPr>
                <w:sz w:val="21"/>
                <w:szCs w:val="21"/>
              </w:rPr>
              <w:t>8</w:t>
            </w:r>
            <w:r w:rsidRPr="00AB3872">
              <w:rPr>
                <w:sz w:val="21"/>
                <w:szCs w:val="21"/>
              </w:rPr>
              <w:t>号</w:t>
            </w:r>
          </w:p>
        </w:tc>
      </w:tr>
      <w:tr w:rsidR="001928BA" w:rsidRPr="00AB3872" w14:paraId="5ACC752E" w14:textId="77777777" w:rsidTr="001E1C68">
        <w:trPr>
          <w:cantSplit/>
          <w:trHeight w:val="284"/>
        </w:trPr>
        <w:tc>
          <w:tcPr>
            <w:tcW w:w="1145" w:type="pct"/>
            <w:shd w:val="clear" w:color="auto" w:fill="auto"/>
            <w:vAlign w:val="center"/>
          </w:tcPr>
          <w:p w14:paraId="7CE9C97F" w14:textId="77777777" w:rsidR="001928BA" w:rsidRPr="00AB3872" w:rsidRDefault="001928BA" w:rsidP="001E1C68">
            <w:pPr>
              <w:autoSpaceDE w:val="0"/>
              <w:autoSpaceDN w:val="0"/>
              <w:adjustRightInd w:val="0"/>
              <w:outlineLvl w:val="1"/>
              <w:rPr>
                <w:sz w:val="21"/>
                <w:szCs w:val="21"/>
              </w:rPr>
            </w:pPr>
            <w:r w:rsidRPr="00AB3872">
              <w:rPr>
                <w:sz w:val="21"/>
                <w:szCs w:val="21"/>
              </w:rPr>
              <w:t>法定代表人</w:t>
            </w:r>
          </w:p>
        </w:tc>
        <w:tc>
          <w:tcPr>
            <w:tcW w:w="3855" w:type="pct"/>
            <w:shd w:val="clear" w:color="auto" w:fill="auto"/>
            <w:vAlign w:val="center"/>
          </w:tcPr>
          <w:p w14:paraId="2FE40CD1" w14:textId="77777777" w:rsidR="001928BA" w:rsidRPr="00AB3872" w:rsidRDefault="001928BA" w:rsidP="001E1C68">
            <w:pPr>
              <w:widowControl/>
              <w:rPr>
                <w:sz w:val="21"/>
                <w:szCs w:val="21"/>
              </w:rPr>
            </w:pPr>
            <w:r w:rsidRPr="00AB3872">
              <w:rPr>
                <w:sz w:val="21"/>
                <w:szCs w:val="21"/>
              </w:rPr>
              <w:t>刘程宇</w:t>
            </w:r>
          </w:p>
        </w:tc>
      </w:tr>
      <w:tr w:rsidR="001928BA" w:rsidRPr="00AB3872" w14:paraId="4ADB5037" w14:textId="77777777" w:rsidTr="001E1C68">
        <w:trPr>
          <w:cantSplit/>
          <w:trHeight w:val="284"/>
        </w:trPr>
        <w:tc>
          <w:tcPr>
            <w:tcW w:w="1145" w:type="pct"/>
            <w:shd w:val="clear" w:color="auto" w:fill="auto"/>
            <w:vAlign w:val="center"/>
          </w:tcPr>
          <w:p w14:paraId="70B85BF2" w14:textId="77777777" w:rsidR="001928BA" w:rsidRPr="00AB3872" w:rsidRDefault="001928BA" w:rsidP="001E1C68">
            <w:pPr>
              <w:autoSpaceDE w:val="0"/>
              <w:autoSpaceDN w:val="0"/>
              <w:adjustRightInd w:val="0"/>
              <w:outlineLvl w:val="1"/>
              <w:rPr>
                <w:sz w:val="21"/>
                <w:szCs w:val="21"/>
              </w:rPr>
            </w:pPr>
            <w:r w:rsidRPr="00AB3872">
              <w:rPr>
                <w:sz w:val="21"/>
                <w:szCs w:val="21"/>
              </w:rPr>
              <w:t>注册资本</w:t>
            </w:r>
          </w:p>
        </w:tc>
        <w:tc>
          <w:tcPr>
            <w:tcW w:w="3855" w:type="pct"/>
            <w:shd w:val="clear" w:color="auto" w:fill="auto"/>
            <w:vAlign w:val="center"/>
          </w:tcPr>
          <w:p w14:paraId="6BAC44E1" w14:textId="77777777" w:rsidR="001928BA" w:rsidRPr="00AB3872" w:rsidRDefault="001928BA" w:rsidP="001E1C68">
            <w:pPr>
              <w:widowControl/>
              <w:rPr>
                <w:sz w:val="21"/>
                <w:szCs w:val="21"/>
              </w:rPr>
            </w:pPr>
            <w:r w:rsidRPr="00AB3872">
              <w:rPr>
                <w:sz w:val="21"/>
                <w:szCs w:val="21"/>
              </w:rPr>
              <w:t>20,000</w:t>
            </w:r>
            <w:r w:rsidRPr="00AB3872">
              <w:rPr>
                <w:sz w:val="21"/>
                <w:szCs w:val="21"/>
              </w:rPr>
              <w:t>万人民币</w:t>
            </w:r>
          </w:p>
        </w:tc>
      </w:tr>
      <w:tr w:rsidR="001928BA" w:rsidRPr="00AB3872" w14:paraId="26681E2D" w14:textId="77777777" w:rsidTr="001E1C68">
        <w:trPr>
          <w:cantSplit/>
          <w:trHeight w:val="284"/>
        </w:trPr>
        <w:tc>
          <w:tcPr>
            <w:tcW w:w="1145" w:type="pct"/>
            <w:shd w:val="clear" w:color="auto" w:fill="auto"/>
            <w:vAlign w:val="center"/>
          </w:tcPr>
          <w:p w14:paraId="5AA13E26" w14:textId="77777777" w:rsidR="001928BA" w:rsidRPr="00AB3872" w:rsidRDefault="001928BA" w:rsidP="001E1C68">
            <w:pPr>
              <w:autoSpaceDE w:val="0"/>
              <w:autoSpaceDN w:val="0"/>
              <w:adjustRightInd w:val="0"/>
              <w:outlineLvl w:val="1"/>
              <w:rPr>
                <w:sz w:val="21"/>
                <w:szCs w:val="21"/>
              </w:rPr>
            </w:pPr>
            <w:r w:rsidRPr="00AB3872">
              <w:rPr>
                <w:sz w:val="21"/>
                <w:szCs w:val="21"/>
              </w:rPr>
              <w:t>经营范围</w:t>
            </w:r>
          </w:p>
        </w:tc>
        <w:tc>
          <w:tcPr>
            <w:tcW w:w="3855" w:type="pct"/>
            <w:shd w:val="clear" w:color="auto" w:fill="auto"/>
            <w:vAlign w:val="center"/>
          </w:tcPr>
          <w:p w14:paraId="76DA0E6B" w14:textId="77777777" w:rsidR="001928BA" w:rsidRPr="00AB3872" w:rsidRDefault="001928BA" w:rsidP="001E1C68">
            <w:pPr>
              <w:widowControl/>
              <w:rPr>
                <w:sz w:val="21"/>
                <w:szCs w:val="21"/>
              </w:rPr>
            </w:pPr>
            <w:r w:rsidRPr="00AB3872">
              <w:rPr>
                <w:sz w:val="21"/>
                <w:szCs w:val="21"/>
              </w:rPr>
              <w:t>储能装置材料及器材研发；储能装置及其管理系统研发；变压器、整流器和电感器制造；电容器及其配套设备制造；配电开关控制设备制造；其他未列明电气机械及器材制造；其他未列明的电子器件制造；</w:t>
            </w:r>
            <w:proofErr w:type="gramStart"/>
            <w:r w:rsidRPr="00AB3872">
              <w:rPr>
                <w:sz w:val="21"/>
                <w:szCs w:val="21"/>
              </w:rPr>
              <w:t>锂</w:t>
            </w:r>
            <w:proofErr w:type="gramEnd"/>
            <w:r w:rsidRPr="00AB3872">
              <w:rPr>
                <w:sz w:val="21"/>
                <w:szCs w:val="21"/>
              </w:rPr>
              <w:t>离子电池制造；分布式交流充电桩销售；集中式快速充电站；其他机械设备及电子产品批发；光</w:t>
            </w:r>
            <w:proofErr w:type="gramStart"/>
            <w:r w:rsidRPr="00AB3872">
              <w:rPr>
                <w:sz w:val="21"/>
                <w:szCs w:val="21"/>
              </w:rPr>
              <w:t>伏设备</w:t>
            </w:r>
            <w:proofErr w:type="gramEnd"/>
            <w:r w:rsidRPr="00AB3872">
              <w:rPr>
                <w:sz w:val="21"/>
                <w:szCs w:val="21"/>
              </w:rPr>
              <w:t>及元器件制造；其他输配电及控制设备制造；智能输配电及控制设备销售；其他工程和技术研究与试验发展服务；其他未列明专业技术服务业；其他未列明的节能技术推广服务；其他未列明新能源技术推广服务。（依法须经批准的项目，经相关部门批准后方可开展经营活动）</w:t>
            </w:r>
          </w:p>
        </w:tc>
      </w:tr>
      <w:tr w:rsidR="001928BA" w:rsidRPr="00AB3872" w14:paraId="35D8566E" w14:textId="77777777" w:rsidTr="001E1C68">
        <w:trPr>
          <w:cantSplit/>
          <w:trHeight w:val="284"/>
        </w:trPr>
        <w:tc>
          <w:tcPr>
            <w:tcW w:w="1145" w:type="pct"/>
            <w:shd w:val="clear" w:color="auto" w:fill="auto"/>
            <w:vAlign w:val="center"/>
          </w:tcPr>
          <w:p w14:paraId="035A6F34" w14:textId="77777777" w:rsidR="001928BA" w:rsidRPr="00AB3872" w:rsidRDefault="001928BA" w:rsidP="001E1C68">
            <w:pPr>
              <w:autoSpaceDE w:val="0"/>
              <w:autoSpaceDN w:val="0"/>
              <w:adjustRightInd w:val="0"/>
              <w:outlineLvl w:val="1"/>
              <w:rPr>
                <w:sz w:val="21"/>
                <w:szCs w:val="21"/>
              </w:rPr>
            </w:pPr>
            <w:r w:rsidRPr="00AB3872">
              <w:rPr>
                <w:sz w:val="21"/>
                <w:szCs w:val="21"/>
              </w:rPr>
              <w:t>股权结构</w:t>
            </w:r>
          </w:p>
        </w:tc>
        <w:tc>
          <w:tcPr>
            <w:tcW w:w="3855" w:type="pct"/>
            <w:shd w:val="clear" w:color="auto" w:fill="auto"/>
            <w:vAlign w:val="center"/>
          </w:tcPr>
          <w:p w14:paraId="3F68E2FA" w14:textId="00E1902B" w:rsidR="001928BA" w:rsidRPr="00AB3872" w:rsidRDefault="001928BA" w:rsidP="001E1C68">
            <w:pPr>
              <w:autoSpaceDE w:val="0"/>
              <w:autoSpaceDN w:val="0"/>
              <w:adjustRightInd w:val="0"/>
              <w:outlineLvl w:val="1"/>
              <w:rPr>
                <w:sz w:val="21"/>
                <w:szCs w:val="21"/>
              </w:rPr>
            </w:pPr>
            <w:r w:rsidRPr="00AB3872">
              <w:rPr>
                <w:sz w:val="21"/>
                <w:szCs w:val="21"/>
              </w:rPr>
              <w:t>深圳科士达科技股份有限公司持股</w:t>
            </w:r>
            <w:r w:rsidRPr="00AB3872">
              <w:rPr>
                <w:sz w:val="21"/>
                <w:szCs w:val="21"/>
              </w:rPr>
              <w:t>80%</w:t>
            </w:r>
            <w:r w:rsidR="00CD7075">
              <w:rPr>
                <w:rFonts w:hint="eastAsia"/>
                <w:sz w:val="21"/>
                <w:szCs w:val="21"/>
              </w:rPr>
              <w:t>，</w:t>
            </w:r>
            <w:r w:rsidR="00CD7075" w:rsidRPr="00AB3872">
              <w:rPr>
                <w:sz w:val="21"/>
                <w:szCs w:val="21"/>
              </w:rPr>
              <w:t>公司持股</w:t>
            </w:r>
            <w:r w:rsidR="00CD7075" w:rsidRPr="00AB3872">
              <w:rPr>
                <w:sz w:val="21"/>
                <w:szCs w:val="21"/>
              </w:rPr>
              <w:t>20%</w:t>
            </w:r>
          </w:p>
        </w:tc>
      </w:tr>
    </w:tbl>
    <w:p w14:paraId="477889FC" w14:textId="5DDCB32A" w:rsidR="001928BA" w:rsidRPr="00AB3872" w:rsidRDefault="00640B39" w:rsidP="001928BA">
      <w:pPr>
        <w:snapToGrid w:val="0"/>
        <w:spacing w:beforeLines="50" w:before="156" w:line="360" w:lineRule="auto"/>
        <w:ind w:firstLineChars="200" w:firstLine="480"/>
        <w:rPr>
          <w:szCs w:val="24"/>
        </w:rPr>
      </w:pPr>
      <w:r w:rsidRPr="00AB3872">
        <w:rPr>
          <w:szCs w:val="24"/>
        </w:rPr>
        <w:t>2</w:t>
      </w:r>
      <w:r w:rsidRPr="00AB3872">
        <w:rPr>
          <w:szCs w:val="24"/>
        </w:rPr>
        <w:t>、</w:t>
      </w:r>
      <w:r w:rsidRPr="00AB3872">
        <w:rPr>
          <w:rFonts w:hint="eastAsia"/>
          <w:szCs w:val="24"/>
        </w:rPr>
        <w:t>2022</w:t>
      </w:r>
      <w:r w:rsidRPr="00AB3872">
        <w:rPr>
          <w:rFonts w:hint="eastAsia"/>
          <w:szCs w:val="24"/>
        </w:rPr>
        <w:t>年</w:t>
      </w:r>
      <w:r w:rsidRPr="00AB3872">
        <w:rPr>
          <w:rFonts w:hint="eastAsia"/>
          <w:szCs w:val="24"/>
        </w:rPr>
        <w:t>1-6</w:t>
      </w:r>
      <w:r w:rsidRPr="00AB3872">
        <w:rPr>
          <w:rFonts w:hint="eastAsia"/>
          <w:szCs w:val="24"/>
        </w:rPr>
        <w:t>月主要财务数据（未经审计）：截至</w:t>
      </w:r>
      <w:r w:rsidRPr="00AB3872">
        <w:rPr>
          <w:rFonts w:hint="eastAsia"/>
          <w:szCs w:val="24"/>
        </w:rPr>
        <w:t>2022</w:t>
      </w:r>
      <w:r w:rsidRPr="00AB3872">
        <w:rPr>
          <w:rFonts w:hint="eastAsia"/>
          <w:szCs w:val="24"/>
        </w:rPr>
        <w:t>年</w:t>
      </w:r>
      <w:r w:rsidRPr="00AB3872">
        <w:rPr>
          <w:rFonts w:hint="eastAsia"/>
          <w:szCs w:val="24"/>
        </w:rPr>
        <w:t>6</w:t>
      </w:r>
      <w:r w:rsidRPr="00AB3872">
        <w:rPr>
          <w:rFonts w:hint="eastAsia"/>
          <w:szCs w:val="24"/>
        </w:rPr>
        <w:t>月</w:t>
      </w:r>
      <w:r w:rsidRPr="00AB3872">
        <w:rPr>
          <w:rFonts w:hint="eastAsia"/>
          <w:szCs w:val="24"/>
        </w:rPr>
        <w:t>30</w:t>
      </w:r>
      <w:r w:rsidRPr="00AB3872">
        <w:rPr>
          <w:rFonts w:hint="eastAsia"/>
          <w:szCs w:val="24"/>
        </w:rPr>
        <w:t>日总资产</w:t>
      </w:r>
      <w:r w:rsidRPr="00AB3872">
        <w:rPr>
          <w:rFonts w:hint="eastAsia"/>
          <w:szCs w:val="24"/>
        </w:rPr>
        <w:t>55</w:t>
      </w:r>
      <w:r w:rsidRPr="00AB3872">
        <w:rPr>
          <w:szCs w:val="24"/>
        </w:rPr>
        <w:t>,</w:t>
      </w:r>
      <w:r w:rsidRPr="00AB3872">
        <w:rPr>
          <w:rFonts w:hint="eastAsia"/>
          <w:szCs w:val="24"/>
        </w:rPr>
        <w:t>988.74</w:t>
      </w:r>
      <w:r w:rsidRPr="00AB3872">
        <w:rPr>
          <w:rFonts w:hint="eastAsia"/>
          <w:szCs w:val="24"/>
        </w:rPr>
        <w:t>万元，净资产</w:t>
      </w:r>
      <w:r w:rsidRPr="00AB3872">
        <w:rPr>
          <w:rFonts w:hint="eastAsia"/>
          <w:szCs w:val="24"/>
        </w:rPr>
        <w:t>20</w:t>
      </w:r>
      <w:r w:rsidRPr="00AB3872">
        <w:rPr>
          <w:szCs w:val="24"/>
        </w:rPr>
        <w:t>,</w:t>
      </w:r>
      <w:r w:rsidRPr="00AB3872">
        <w:rPr>
          <w:rFonts w:hint="eastAsia"/>
          <w:szCs w:val="24"/>
        </w:rPr>
        <w:t>413.09</w:t>
      </w:r>
      <w:r w:rsidRPr="00AB3872">
        <w:rPr>
          <w:rFonts w:hint="eastAsia"/>
          <w:szCs w:val="24"/>
        </w:rPr>
        <w:t>万元；</w:t>
      </w:r>
      <w:r w:rsidRPr="00AB3872">
        <w:rPr>
          <w:rFonts w:hint="eastAsia"/>
          <w:szCs w:val="24"/>
        </w:rPr>
        <w:t>2022</w:t>
      </w:r>
      <w:r w:rsidRPr="00AB3872">
        <w:rPr>
          <w:rFonts w:hint="eastAsia"/>
          <w:szCs w:val="24"/>
        </w:rPr>
        <w:t>年</w:t>
      </w:r>
      <w:r w:rsidRPr="00AB3872">
        <w:rPr>
          <w:rFonts w:hint="eastAsia"/>
          <w:szCs w:val="24"/>
        </w:rPr>
        <w:t>1-6</w:t>
      </w:r>
      <w:r w:rsidRPr="00AB3872">
        <w:rPr>
          <w:rFonts w:hint="eastAsia"/>
          <w:szCs w:val="24"/>
        </w:rPr>
        <w:t>月营业收入</w:t>
      </w:r>
      <w:r w:rsidRPr="00AB3872">
        <w:rPr>
          <w:rFonts w:hint="eastAsia"/>
          <w:szCs w:val="24"/>
        </w:rPr>
        <w:t>12,504.75</w:t>
      </w:r>
      <w:r w:rsidRPr="00AB3872">
        <w:rPr>
          <w:rFonts w:hint="eastAsia"/>
          <w:szCs w:val="24"/>
        </w:rPr>
        <w:t>万元，净利润</w:t>
      </w:r>
      <w:r w:rsidRPr="00AB3872">
        <w:rPr>
          <w:rFonts w:hint="eastAsia"/>
          <w:szCs w:val="24"/>
        </w:rPr>
        <w:t>1</w:t>
      </w:r>
      <w:r w:rsidRPr="00AB3872">
        <w:rPr>
          <w:szCs w:val="24"/>
        </w:rPr>
        <w:t>,</w:t>
      </w:r>
      <w:r w:rsidRPr="00AB3872">
        <w:rPr>
          <w:rFonts w:hint="eastAsia"/>
          <w:szCs w:val="24"/>
        </w:rPr>
        <w:t>218.94</w:t>
      </w:r>
      <w:r w:rsidRPr="00AB3872">
        <w:rPr>
          <w:rFonts w:hint="eastAsia"/>
          <w:szCs w:val="24"/>
        </w:rPr>
        <w:t>万元。</w:t>
      </w:r>
    </w:p>
    <w:p w14:paraId="76526215" w14:textId="77777777" w:rsidR="001928BA" w:rsidRPr="00AB3872" w:rsidRDefault="001928BA" w:rsidP="001928BA">
      <w:pPr>
        <w:snapToGrid w:val="0"/>
        <w:spacing w:beforeLines="50" w:before="156" w:line="360" w:lineRule="auto"/>
        <w:ind w:firstLineChars="200" w:firstLine="480"/>
        <w:rPr>
          <w:szCs w:val="24"/>
        </w:rPr>
      </w:pPr>
      <w:r w:rsidRPr="00AB3872">
        <w:rPr>
          <w:szCs w:val="24"/>
        </w:rPr>
        <w:t>3</w:t>
      </w:r>
      <w:r w:rsidRPr="00AB3872">
        <w:rPr>
          <w:rFonts w:hint="eastAsia"/>
          <w:szCs w:val="24"/>
        </w:rPr>
        <w:t>、关联关系说明：</w:t>
      </w:r>
      <w:r w:rsidRPr="00AB3872">
        <w:rPr>
          <w:szCs w:val="24"/>
        </w:rPr>
        <w:t>公司副总经理谭立斌先生担任时代科士达董事，符合《深圳证券交易所创业板股票上市规则》</w:t>
      </w:r>
      <w:r w:rsidRPr="00AB3872">
        <w:rPr>
          <w:szCs w:val="24"/>
        </w:rPr>
        <w:t>7.2.3</w:t>
      </w:r>
      <w:r w:rsidRPr="00AB3872">
        <w:rPr>
          <w:szCs w:val="24"/>
        </w:rPr>
        <w:t>条规定的情形，因此，时代科士达为公司的关联法人。</w:t>
      </w:r>
    </w:p>
    <w:p w14:paraId="5189C227" w14:textId="77777777" w:rsidR="001928BA" w:rsidRPr="00AB3872" w:rsidRDefault="001928BA" w:rsidP="001928BA">
      <w:pPr>
        <w:snapToGrid w:val="0"/>
        <w:spacing w:beforeLines="50" w:before="156" w:line="360" w:lineRule="auto"/>
        <w:ind w:firstLineChars="200" w:firstLine="480"/>
        <w:rPr>
          <w:szCs w:val="24"/>
        </w:rPr>
      </w:pPr>
      <w:r w:rsidRPr="00AB3872">
        <w:rPr>
          <w:szCs w:val="24"/>
        </w:rPr>
        <w:t>4</w:t>
      </w:r>
      <w:r w:rsidRPr="00AB3872">
        <w:rPr>
          <w:rFonts w:hint="eastAsia"/>
          <w:szCs w:val="24"/>
        </w:rPr>
        <w:t>、履约能力分析：</w:t>
      </w:r>
      <w:r w:rsidRPr="00AB3872">
        <w:rPr>
          <w:szCs w:val="24"/>
        </w:rPr>
        <w:t>时代科士达自成立以来依法存续，目前正常经营，具备相关履约能力。经核查，时代科士达不属于失信被执行人。</w:t>
      </w:r>
    </w:p>
    <w:p w14:paraId="3B0C4002" w14:textId="77777777" w:rsidR="004E7CF0" w:rsidRPr="00AB3872" w:rsidRDefault="004E7CF0" w:rsidP="00E06FA9">
      <w:pPr>
        <w:autoSpaceDE w:val="0"/>
        <w:autoSpaceDN w:val="0"/>
        <w:spacing w:beforeLines="50" w:before="156" w:line="360" w:lineRule="auto"/>
        <w:ind w:firstLineChars="200" w:firstLine="482"/>
        <w:outlineLvl w:val="0"/>
        <w:rPr>
          <w:rFonts w:eastAsiaTheme="minorEastAsia"/>
          <w:b/>
          <w:color w:val="000000"/>
        </w:rPr>
      </w:pPr>
      <w:r w:rsidRPr="00AB3872">
        <w:rPr>
          <w:rFonts w:eastAsiaTheme="minorEastAsia"/>
          <w:b/>
          <w:color w:val="000000"/>
        </w:rPr>
        <w:lastRenderedPageBreak/>
        <w:t>三、关联交易主要内容</w:t>
      </w:r>
    </w:p>
    <w:p w14:paraId="60005E66" w14:textId="77777777"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b/>
          <w:color w:val="000000"/>
        </w:rPr>
        <w:t>（一）关联交易主要内容</w:t>
      </w:r>
    </w:p>
    <w:p w14:paraId="09324873" w14:textId="22FFD4AE" w:rsidR="004E7CF0" w:rsidRPr="00AB3872" w:rsidRDefault="00847873" w:rsidP="004E7CF0">
      <w:pPr>
        <w:autoSpaceDE w:val="0"/>
        <w:autoSpaceDN w:val="0"/>
        <w:spacing w:beforeLines="50" w:before="156" w:line="360" w:lineRule="auto"/>
        <w:ind w:firstLineChars="200" w:firstLine="480"/>
        <w:rPr>
          <w:rFonts w:eastAsiaTheme="minorEastAsia"/>
          <w:color w:val="000000"/>
        </w:rPr>
      </w:pPr>
      <w:r w:rsidRPr="00AB3872">
        <w:rPr>
          <w:rFonts w:eastAsiaTheme="minorEastAsia" w:hint="eastAsia"/>
          <w:color w:val="000000"/>
        </w:rPr>
        <w:t>公司与上汽时代、时代科士达的关联交易将遵循公平、合理的定价原则，依据市场价格定价，并按照协议约定进行结算</w:t>
      </w:r>
      <w:r w:rsidR="004E7CF0" w:rsidRPr="00AB3872">
        <w:rPr>
          <w:rFonts w:eastAsiaTheme="minorEastAsia" w:hint="eastAsia"/>
          <w:color w:val="000000"/>
        </w:rPr>
        <w:t>。</w:t>
      </w:r>
    </w:p>
    <w:p w14:paraId="69120BA3" w14:textId="77777777"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b/>
          <w:color w:val="000000"/>
        </w:rPr>
        <w:t>（二）关联交易协议签署情况</w:t>
      </w:r>
    </w:p>
    <w:p w14:paraId="74555E54" w14:textId="45BF6B88" w:rsidR="004E7CF0" w:rsidRPr="00AB3872" w:rsidRDefault="00847873" w:rsidP="004E7CF0">
      <w:pPr>
        <w:autoSpaceDE w:val="0"/>
        <w:autoSpaceDN w:val="0"/>
        <w:spacing w:beforeLines="50" w:before="156" w:line="360" w:lineRule="auto"/>
        <w:ind w:firstLineChars="200" w:firstLine="480"/>
        <w:rPr>
          <w:rFonts w:eastAsiaTheme="minorEastAsia"/>
          <w:color w:val="000000"/>
        </w:rPr>
      </w:pPr>
      <w:r w:rsidRPr="00AB3872">
        <w:rPr>
          <w:rFonts w:eastAsiaTheme="minorEastAsia" w:hint="eastAsia"/>
          <w:color w:val="000000"/>
        </w:rPr>
        <w:t>公司与上汽时代、时代科士达将根据生产经营的实际需求在本次预计额度范围内签订相关协议。</w:t>
      </w:r>
    </w:p>
    <w:p w14:paraId="0A10AEDC" w14:textId="77777777" w:rsidR="004E7CF0" w:rsidRPr="00AB3872" w:rsidRDefault="004E7CF0" w:rsidP="00E06FA9">
      <w:pPr>
        <w:autoSpaceDE w:val="0"/>
        <w:autoSpaceDN w:val="0"/>
        <w:spacing w:beforeLines="50" w:before="156" w:line="360" w:lineRule="auto"/>
        <w:ind w:firstLineChars="200" w:firstLine="482"/>
        <w:outlineLvl w:val="0"/>
        <w:rPr>
          <w:rFonts w:eastAsiaTheme="minorEastAsia"/>
          <w:b/>
          <w:color w:val="000000"/>
        </w:rPr>
      </w:pPr>
      <w:r w:rsidRPr="00AB3872">
        <w:rPr>
          <w:rFonts w:eastAsiaTheme="minorEastAsia"/>
          <w:b/>
          <w:color w:val="000000"/>
        </w:rPr>
        <w:t>四、关联交易目的和对上市公司的影响</w:t>
      </w:r>
    </w:p>
    <w:p w14:paraId="3D10E897" w14:textId="4E405F8D" w:rsidR="004E7CF0" w:rsidRPr="00AB3872" w:rsidRDefault="00847873" w:rsidP="004E7CF0">
      <w:pPr>
        <w:autoSpaceDE w:val="0"/>
        <w:autoSpaceDN w:val="0"/>
        <w:spacing w:beforeLines="50" w:before="156" w:line="360" w:lineRule="auto"/>
        <w:ind w:firstLineChars="200" w:firstLine="480"/>
        <w:rPr>
          <w:rFonts w:eastAsiaTheme="minorEastAsia"/>
          <w:color w:val="000000"/>
        </w:rPr>
      </w:pPr>
      <w:r w:rsidRPr="00AB3872">
        <w:rPr>
          <w:rFonts w:eastAsiaTheme="minorEastAsia" w:hint="eastAsia"/>
          <w:color w:val="000000"/>
        </w:rPr>
        <w:t>本次新增关联交易预计为公司日常经营业务开展需要，交易价格以市场公允价格为基础，不存在损害公司和股东利益的情形。公司不会因上述交易对关联方形成依赖，不会影响公司的独立性。</w:t>
      </w:r>
    </w:p>
    <w:p w14:paraId="4CB7CB50" w14:textId="77777777" w:rsidR="004E7CF0" w:rsidRPr="00AB3872" w:rsidRDefault="004E7CF0" w:rsidP="004E7CF0">
      <w:pPr>
        <w:spacing w:beforeLines="50" w:before="156" w:line="360" w:lineRule="auto"/>
        <w:ind w:firstLineChars="200" w:firstLine="482"/>
        <w:outlineLvl w:val="0"/>
        <w:rPr>
          <w:b/>
          <w:szCs w:val="24"/>
        </w:rPr>
      </w:pPr>
      <w:r w:rsidRPr="00AB3872">
        <w:rPr>
          <w:rFonts w:hint="eastAsia"/>
          <w:b/>
          <w:szCs w:val="24"/>
        </w:rPr>
        <w:t>五</w:t>
      </w:r>
      <w:r w:rsidRPr="00AB3872">
        <w:rPr>
          <w:b/>
          <w:szCs w:val="24"/>
        </w:rPr>
        <w:t>、独立董事及中介机构意见</w:t>
      </w:r>
    </w:p>
    <w:p w14:paraId="41FF8977" w14:textId="77777777"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hint="eastAsia"/>
          <w:b/>
          <w:color w:val="000000"/>
        </w:rPr>
        <w:t>（一）独立董事独立意见</w:t>
      </w:r>
    </w:p>
    <w:p w14:paraId="03496610" w14:textId="06D4D3AB" w:rsidR="004E7CF0" w:rsidRPr="00AB3872" w:rsidRDefault="00E743F0" w:rsidP="004E7CF0">
      <w:pPr>
        <w:spacing w:beforeLines="50" w:before="156" w:line="360" w:lineRule="auto"/>
        <w:ind w:firstLineChars="200" w:firstLine="480"/>
        <w:rPr>
          <w:szCs w:val="24"/>
        </w:rPr>
      </w:pPr>
      <w:r w:rsidRPr="00E743F0">
        <w:rPr>
          <w:rFonts w:hint="eastAsia"/>
          <w:szCs w:val="24"/>
        </w:rPr>
        <w:t>经核查，独立董事认为：</w:t>
      </w:r>
      <w:r w:rsidR="00640B39" w:rsidRPr="00AB3872">
        <w:rPr>
          <w:rFonts w:hint="eastAsia"/>
          <w:szCs w:val="24"/>
        </w:rPr>
        <w:t>公司本次新增关联交易额度预计为公司日常经营所需，交易价格以市场公允价格为基础，不存在损害公司及股东利益的情形。本次新增关联交易额度事项的决策程序合法、有效。因此，同意公司本次新增关联交易</w:t>
      </w:r>
      <w:r>
        <w:rPr>
          <w:rFonts w:hint="eastAsia"/>
          <w:szCs w:val="24"/>
        </w:rPr>
        <w:t>额度预计</w:t>
      </w:r>
      <w:r w:rsidR="00640B39" w:rsidRPr="00AB3872">
        <w:rPr>
          <w:rFonts w:hint="eastAsia"/>
          <w:szCs w:val="24"/>
        </w:rPr>
        <w:t>事项</w:t>
      </w:r>
      <w:r w:rsidR="004E7CF0" w:rsidRPr="00AB3872">
        <w:rPr>
          <w:rFonts w:hint="eastAsia"/>
          <w:szCs w:val="24"/>
        </w:rPr>
        <w:t>。</w:t>
      </w:r>
    </w:p>
    <w:p w14:paraId="54F19FC8" w14:textId="796791BE" w:rsidR="00640B39" w:rsidRPr="003E69F2" w:rsidRDefault="00640B39" w:rsidP="004E7CF0">
      <w:pPr>
        <w:spacing w:beforeLines="50" w:before="156" w:line="360" w:lineRule="auto"/>
        <w:ind w:firstLineChars="200" w:firstLine="482"/>
        <w:rPr>
          <w:b/>
          <w:szCs w:val="24"/>
        </w:rPr>
      </w:pPr>
      <w:bookmarkStart w:id="0" w:name="_GoBack"/>
      <w:r w:rsidRPr="003E69F2">
        <w:rPr>
          <w:rFonts w:hint="eastAsia"/>
          <w:b/>
          <w:szCs w:val="24"/>
        </w:rPr>
        <w:t>（二）监事会核查意见</w:t>
      </w:r>
    </w:p>
    <w:bookmarkEnd w:id="0"/>
    <w:p w14:paraId="05ABDC95" w14:textId="77777777" w:rsidR="00640B39" w:rsidRPr="00AB3872" w:rsidRDefault="00640B39" w:rsidP="00640B39">
      <w:pPr>
        <w:topLinePunct/>
        <w:spacing w:beforeLines="50" w:before="156" w:line="360" w:lineRule="auto"/>
        <w:ind w:firstLineChars="200" w:firstLine="480"/>
        <w:rPr>
          <w:szCs w:val="21"/>
        </w:rPr>
      </w:pPr>
      <w:r w:rsidRPr="00AB3872">
        <w:rPr>
          <w:rFonts w:hint="eastAsia"/>
          <w:szCs w:val="21"/>
        </w:rPr>
        <w:t>经审核，监事会认为：基于公司业务发展和日常经营需要，公司及子公司拟与关联方新增关联交易额度，关联交易的定价遵循公平、公正及合理的原则，以市场价格作为定价基础，不存在损害公司和股东利益的情形。因此，同意公司本次关于新增日常关联交易额度预计事项。</w:t>
      </w:r>
    </w:p>
    <w:p w14:paraId="31DD2065" w14:textId="5C1165FC" w:rsidR="004E7CF0" w:rsidRPr="00AB3872" w:rsidRDefault="004E7CF0" w:rsidP="00E06FA9">
      <w:pPr>
        <w:autoSpaceDE w:val="0"/>
        <w:autoSpaceDN w:val="0"/>
        <w:spacing w:beforeLines="50" w:before="156" w:line="360" w:lineRule="auto"/>
        <w:ind w:firstLineChars="200" w:firstLine="482"/>
        <w:outlineLvl w:val="1"/>
        <w:rPr>
          <w:rFonts w:eastAsiaTheme="minorEastAsia"/>
          <w:b/>
          <w:color w:val="000000"/>
        </w:rPr>
      </w:pPr>
      <w:r w:rsidRPr="00AB3872">
        <w:rPr>
          <w:rFonts w:eastAsiaTheme="minorEastAsia" w:hint="eastAsia"/>
          <w:b/>
          <w:color w:val="000000"/>
        </w:rPr>
        <w:t>（</w:t>
      </w:r>
      <w:r w:rsidR="00640B39" w:rsidRPr="00AB3872">
        <w:rPr>
          <w:rFonts w:eastAsiaTheme="minorEastAsia" w:hint="eastAsia"/>
          <w:b/>
          <w:color w:val="000000"/>
        </w:rPr>
        <w:t>三</w:t>
      </w:r>
      <w:r w:rsidRPr="00AB3872">
        <w:rPr>
          <w:rFonts w:eastAsiaTheme="minorEastAsia" w:hint="eastAsia"/>
          <w:b/>
          <w:color w:val="000000"/>
        </w:rPr>
        <w:t>）保荐机构核查意见</w:t>
      </w:r>
    </w:p>
    <w:p w14:paraId="0B309F75" w14:textId="77777777" w:rsidR="004E7CF0" w:rsidRPr="00AB3872" w:rsidRDefault="004E7CF0" w:rsidP="004E7CF0">
      <w:pPr>
        <w:spacing w:beforeLines="50" w:before="156" w:line="360" w:lineRule="auto"/>
        <w:ind w:firstLineChars="200" w:firstLine="480"/>
        <w:rPr>
          <w:szCs w:val="24"/>
        </w:rPr>
      </w:pPr>
      <w:r w:rsidRPr="00AB3872">
        <w:rPr>
          <w:rFonts w:hint="eastAsia"/>
          <w:szCs w:val="24"/>
        </w:rPr>
        <w:t>中</w:t>
      </w:r>
      <w:proofErr w:type="gramStart"/>
      <w:r w:rsidRPr="00AB3872">
        <w:rPr>
          <w:rFonts w:hint="eastAsia"/>
          <w:szCs w:val="24"/>
        </w:rPr>
        <w:t>信建投证券</w:t>
      </w:r>
      <w:proofErr w:type="gramEnd"/>
      <w:r w:rsidRPr="00AB3872">
        <w:rPr>
          <w:rFonts w:hint="eastAsia"/>
          <w:szCs w:val="24"/>
        </w:rPr>
        <w:t>作为宁德时代的保荐机构，对上述日常关联交易预计事项发表如下意见：</w:t>
      </w:r>
    </w:p>
    <w:p w14:paraId="63621109" w14:textId="0A214E49" w:rsidR="004E7CF0" w:rsidRPr="00AB3872" w:rsidRDefault="004E7CF0" w:rsidP="004E7CF0">
      <w:pPr>
        <w:spacing w:beforeLines="50" w:before="156" w:line="360" w:lineRule="auto"/>
        <w:ind w:firstLineChars="200" w:firstLine="480"/>
        <w:rPr>
          <w:szCs w:val="24"/>
        </w:rPr>
      </w:pPr>
      <w:r w:rsidRPr="00AB3872">
        <w:rPr>
          <w:szCs w:val="24"/>
        </w:rPr>
        <w:lastRenderedPageBreak/>
        <w:t>1</w:t>
      </w:r>
      <w:r w:rsidRPr="00AB3872">
        <w:rPr>
          <w:rFonts w:hint="eastAsia"/>
          <w:szCs w:val="24"/>
        </w:rPr>
        <w:t>、公司</w:t>
      </w:r>
      <w:r w:rsidR="00D42C9A" w:rsidRPr="00AB3872">
        <w:rPr>
          <w:rFonts w:hint="eastAsia"/>
          <w:szCs w:val="24"/>
        </w:rPr>
        <w:t>本次</w:t>
      </w:r>
      <w:r w:rsidRPr="00AB3872">
        <w:rPr>
          <w:rFonts w:hint="eastAsia"/>
          <w:szCs w:val="24"/>
        </w:rPr>
        <w:t>新增</w:t>
      </w:r>
      <w:r w:rsidR="00847873" w:rsidRPr="00AB3872">
        <w:rPr>
          <w:rFonts w:hint="eastAsia"/>
          <w:szCs w:val="24"/>
        </w:rPr>
        <w:t>日常</w:t>
      </w:r>
      <w:r w:rsidRPr="00AB3872">
        <w:rPr>
          <w:rFonts w:hint="eastAsia"/>
          <w:szCs w:val="24"/>
        </w:rPr>
        <w:t>关联交易预计符合公司正常经营活动所需，遵循市场公允定价原则，不存在损害公司及股东利益的情况，不会因此对关联方产生依赖，不会对公司独立性产生影响，符合公司全体股东利益，不存在损害中小股东利益的情形；</w:t>
      </w:r>
    </w:p>
    <w:p w14:paraId="3D6EDEEA" w14:textId="4A2CA1E6" w:rsidR="009C13C1" w:rsidRPr="00AB3872" w:rsidRDefault="004E7CF0" w:rsidP="00E06FA9">
      <w:pPr>
        <w:spacing w:beforeLines="50" w:before="156" w:line="360" w:lineRule="auto"/>
        <w:ind w:firstLineChars="200" w:firstLine="480"/>
        <w:rPr>
          <w:szCs w:val="24"/>
        </w:rPr>
      </w:pPr>
      <w:r w:rsidRPr="00AB3872">
        <w:rPr>
          <w:szCs w:val="24"/>
        </w:rPr>
        <w:t>2</w:t>
      </w:r>
      <w:r w:rsidRPr="00AB3872">
        <w:rPr>
          <w:rFonts w:hint="eastAsia"/>
          <w:szCs w:val="24"/>
        </w:rPr>
        <w:t>、公司</w:t>
      </w:r>
      <w:r w:rsidR="00D42C9A" w:rsidRPr="00AB3872">
        <w:rPr>
          <w:rFonts w:hint="eastAsia"/>
          <w:szCs w:val="24"/>
        </w:rPr>
        <w:t>本次</w:t>
      </w:r>
      <w:r w:rsidRPr="00AB3872">
        <w:rPr>
          <w:rFonts w:hint="eastAsia"/>
          <w:szCs w:val="24"/>
        </w:rPr>
        <w:t>新增</w:t>
      </w:r>
      <w:r w:rsidR="00847873" w:rsidRPr="00AB3872">
        <w:rPr>
          <w:rFonts w:hint="eastAsia"/>
          <w:szCs w:val="24"/>
        </w:rPr>
        <w:t>日常</w:t>
      </w:r>
      <w:r w:rsidRPr="00AB3872">
        <w:rPr>
          <w:rFonts w:hint="eastAsia"/>
          <w:szCs w:val="24"/>
        </w:rPr>
        <w:t>关联交易预计事项</w:t>
      </w:r>
      <w:bookmarkStart w:id="1" w:name="_Hlk82424027"/>
      <w:r w:rsidRPr="00AB3872">
        <w:rPr>
          <w:rFonts w:hint="eastAsia"/>
          <w:szCs w:val="24"/>
        </w:rPr>
        <w:t>已经公司董事会审议批准，独立董事发表了同意意见，履行了必要的审批程序，</w:t>
      </w:r>
      <w:r w:rsidR="00BB1D91" w:rsidRPr="00AB3872">
        <w:rPr>
          <w:rFonts w:hint="eastAsia"/>
          <w:szCs w:val="24"/>
        </w:rPr>
        <w:t>《深圳证券交易所创业板股票上市规则》《深圳证券交易所上市公司自律监管指引第</w:t>
      </w:r>
      <w:r w:rsidR="00BB1D91" w:rsidRPr="00AB3872">
        <w:rPr>
          <w:rFonts w:hint="eastAsia"/>
          <w:szCs w:val="24"/>
        </w:rPr>
        <w:t>2</w:t>
      </w:r>
      <w:r w:rsidR="00BB1D91" w:rsidRPr="00AB3872">
        <w:rPr>
          <w:rFonts w:hint="eastAsia"/>
          <w:szCs w:val="24"/>
        </w:rPr>
        <w:t>号——创业板上市公司规范运作》等有关规定</w:t>
      </w:r>
      <w:r w:rsidRPr="00AB3872">
        <w:rPr>
          <w:rFonts w:hint="eastAsia"/>
          <w:szCs w:val="24"/>
        </w:rPr>
        <w:t>的要求。</w:t>
      </w:r>
      <w:bookmarkEnd w:id="1"/>
      <w:r w:rsidRPr="00AB3872">
        <w:rPr>
          <w:rFonts w:hint="eastAsia"/>
          <w:szCs w:val="24"/>
        </w:rPr>
        <w:t>综上，保荐机构对公司新增</w:t>
      </w:r>
      <w:r w:rsidR="00847873" w:rsidRPr="00AB3872">
        <w:rPr>
          <w:rFonts w:hint="eastAsia"/>
          <w:szCs w:val="24"/>
        </w:rPr>
        <w:t>日常</w:t>
      </w:r>
      <w:r w:rsidRPr="00AB3872">
        <w:rPr>
          <w:rFonts w:hint="eastAsia"/>
          <w:szCs w:val="24"/>
        </w:rPr>
        <w:t>关联交易预计事项无异议</w:t>
      </w:r>
      <w:r w:rsidR="00FE4F67" w:rsidRPr="00AB3872">
        <w:rPr>
          <w:rFonts w:hint="eastAsia"/>
          <w:szCs w:val="24"/>
        </w:rPr>
        <w:t>。</w:t>
      </w:r>
      <w:r w:rsidR="009C13C1" w:rsidRPr="00AB3872">
        <w:rPr>
          <w:szCs w:val="24"/>
        </w:rPr>
        <w:br w:type="page"/>
      </w:r>
    </w:p>
    <w:p w14:paraId="4B8CCEA7" w14:textId="681FA733" w:rsidR="009C13C1" w:rsidRPr="00AB3872" w:rsidRDefault="00AB3872" w:rsidP="009C13C1">
      <w:pPr>
        <w:autoSpaceDE w:val="0"/>
        <w:autoSpaceDN w:val="0"/>
        <w:spacing w:beforeLines="50" w:before="156" w:line="360" w:lineRule="auto"/>
        <w:rPr>
          <w:szCs w:val="21"/>
        </w:rPr>
      </w:pPr>
      <w:bookmarkStart w:id="2" w:name="_Hlk117088040"/>
      <w:r>
        <w:rPr>
          <w:noProof/>
          <w:kern w:val="0"/>
          <w:szCs w:val="24"/>
        </w:rPr>
        <w:lastRenderedPageBreak/>
        <w:drawing>
          <wp:anchor distT="0" distB="0" distL="114300" distR="114300" simplePos="0" relativeHeight="251658240" behindDoc="0" locked="0" layoutInCell="1" allowOverlap="1" wp14:anchorId="4B68FE86" wp14:editId="7CC3E9B7">
            <wp:simplePos x="0" y="0"/>
            <wp:positionH relativeFrom="column">
              <wp:posOffset>-1143000</wp:posOffset>
            </wp:positionH>
            <wp:positionV relativeFrom="paragraph">
              <wp:posOffset>12258</wp:posOffset>
            </wp:positionV>
            <wp:extent cx="7550785" cy="8412480"/>
            <wp:effectExtent l="0" t="0" r="0" b="7620"/>
            <wp:wrapNone/>
            <wp:docPr id="1" name="图片 1"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中度可信度描述已自动生成"/>
                    <pic:cNvPicPr/>
                  </pic:nvPicPr>
                  <pic:blipFill rotWithShape="1">
                    <a:blip r:embed="rId8" cstate="print">
                      <a:extLst>
                        <a:ext uri="{28A0092B-C50C-407E-A947-70E740481C1C}">
                          <a14:useLocalDpi xmlns:a14="http://schemas.microsoft.com/office/drawing/2010/main" val="0"/>
                        </a:ext>
                      </a:extLst>
                    </a:blip>
                    <a:srcRect t="9341" b="11928"/>
                    <a:stretch/>
                  </pic:blipFill>
                  <pic:spPr bwMode="auto">
                    <a:xfrm>
                      <a:off x="0" y="0"/>
                      <a:ext cx="7550785" cy="841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3C1" w:rsidRPr="00AB3872">
        <w:rPr>
          <w:rFonts w:hint="eastAsia"/>
          <w:szCs w:val="21"/>
        </w:rPr>
        <w:t>（此页无正文，为《中信建投证券股份有限公司关于宁德时代新能源科技股份有限公司</w:t>
      </w:r>
      <w:r w:rsidR="001928BA" w:rsidRPr="00AB3872">
        <w:rPr>
          <w:rFonts w:hint="eastAsia"/>
          <w:szCs w:val="21"/>
        </w:rPr>
        <w:t>新增日常关联交易额度预计</w:t>
      </w:r>
      <w:r w:rsidR="009C13C1" w:rsidRPr="00AB3872">
        <w:rPr>
          <w:rFonts w:hint="eastAsia"/>
          <w:szCs w:val="21"/>
        </w:rPr>
        <w:t>的核查意见</w:t>
      </w:r>
      <w:r w:rsidR="009C13C1" w:rsidRPr="00AB3872">
        <w:rPr>
          <w:szCs w:val="21"/>
        </w:rPr>
        <w:t>》之签署页）</w:t>
      </w:r>
    </w:p>
    <w:p w14:paraId="73E0B6CE" w14:textId="77777777" w:rsidR="009C13C1" w:rsidRPr="00AB3872" w:rsidRDefault="009C13C1" w:rsidP="009C13C1">
      <w:pPr>
        <w:widowControl/>
        <w:spacing w:before="120" w:line="360" w:lineRule="auto"/>
        <w:ind w:firstLine="480"/>
        <w:rPr>
          <w:kern w:val="0"/>
          <w:szCs w:val="24"/>
        </w:rPr>
      </w:pPr>
    </w:p>
    <w:p w14:paraId="0ED1F5D9" w14:textId="77777777" w:rsidR="009C13C1" w:rsidRPr="00AB3872" w:rsidRDefault="009C13C1" w:rsidP="009C13C1">
      <w:pPr>
        <w:widowControl/>
        <w:spacing w:before="120" w:line="360" w:lineRule="auto"/>
        <w:ind w:firstLine="480"/>
        <w:rPr>
          <w:kern w:val="0"/>
          <w:szCs w:val="24"/>
        </w:rPr>
      </w:pPr>
    </w:p>
    <w:p w14:paraId="27D146CC" w14:textId="36474B47" w:rsidR="009C13C1" w:rsidRPr="00AB3872" w:rsidRDefault="009C13C1" w:rsidP="009C13C1">
      <w:pPr>
        <w:widowControl/>
        <w:spacing w:before="120" w:line="360" w:lineRule="auto"/>
        <w:ind w:firstLine="480"/>
        <w:rPr>
          <w:kern w:val="0"/>
          <w:szCs w:val="24"/>
        </w:rPr>
      </w:pPr>
    </w:p>
    <w:p w14:paraId="2295C618" w14:textId="77777777" w:rsidR="009C13C1" w:rsidRPr="00AB3872" w:rsidRDefault="009C13C1" w:rsidP="009C13C1">
      <w:pPr>
        <w:widowControl/>
        <w:spacing w:before="120" w:line="360" w:lineRule="auto"/>
        <w:ind w:firstLine="480"/>
        <w:rPr>
          <w:kern w:val="0"/>
          <w:szCs w:val="24"/>
        </w:rPr>
      </w:pPr>
    </w:p>
    <w:p w14:paraId="66DD5338" w14:textId="77777777" w:rsidR="009C13C1" w:rsidRPr="00AB3872" w:rsidRDefault="009C13C1" w:rsidP="009C13C1">
      <w:pPr>
        <w:widowControl/>
        <w:spacing w:before="120" w:line="360" w:lineRule="auto"/>
        <w:ind w:firstLine="480"/>
        <w:rPr>
          <w:kern w:val="0"/>
          <w:szCs w:val="24"/>
        </w:rPr>
      </w:pPr>
    </w:p>
    <w:p w14:paraId="53CE76A4" w14:textId="77777777" w:rsidR="009C13C1" w:rsidRPr="00AB3872" w:rsidRDefault="009C13C1" w:rsidP="009C13C1">
      <w:pPr>
        <w:widowControl/>
        <w:spacing w:before="120" w:line="360" w:lineRule="auto"/>
        <w:ind w:firstLine="480"/>
        <w:rPr>
          <w:kern w:val="0"/>
          <w:szCs w:val="24"/>
        </w:rPr>
      </w:pPr>
    </w:p>
    <w:p w14:paraId="32AA4F9D" w14:textId="77777777" w:rsidR="009C13C1" w:rsidRPr="00AB3872" w:rsidRDefault="009C13C1" w:rsidP="009C13C1">
      <w:pPr>
        <w:spacing w:beforeLines="200" w:before="624" w:after="120"/>
        <w:ind w:leftChars="47" w:left="113" w:firstLineChars="200" w:firstLine="480"/>
        <w:rPr>
          <w:rFonts w:ascii="Calibri" w:hAnsi="Calibri"/>
          <w:bCs/>
          <w:kern w:val="10"/>
        </w:rPr>
      </w:pPr>
      <w:r w:rsidRPr="00AB3872">
        <w:rPr>
          <w:rFonts w:ascii="Calibri" w:hAnsi="Calibri"/>
          <w:bCs/>
          <w:kern w:val="10"/>
        </w:rPr>
        <w:t>保荐代表人签名：</w:t>
      </w:r>
      <w:r w:rsidRPr="00AB3872">
        <w:rPr>
          <w:rFonts w:ascii="Calibri" w:hAnsi="Calibri" w:hint="eastAsia"/>
          <w:bCs/>
          <w:kern w:val="10"/>
        </w:rPr>
        <w:t xml:space="preserve">  _______________            _________________</w:t>
      </w:r>
    </w:p>
    <w:p w14:paraId="4ABD124D" w14:textId="77777777" w:rsidR="009C13C1" w:rsidRPr="00AB3872" w:rsidRDefault="009C13C1" w:rsidP="009C13C1">
      <w:pPr>
        <w:spacing w:beforeLines="50" w:before="156" w:after="120"/>
        <w:ind w:leftChars="47" w:left="113" w:firstLineChars="200" w:firstLine="480"/>
        <w:rPr>
          <w:rFonts w:ascii="Calibri" w:hAnsi="Calibri"/>
          <w:bCs/>
          <w:kern w:val="10"/>
        </w:rPr>
      </w:pPr>
      <w:r w:rsidRPr="00AB3872">
        <w:rPr>
          <w:rFonts w:ascii="Calibri" w:hAnsi="Calibri" w:hint="eastAsia"/>
          <w:bCs/>
          <w:kern w:val="10"/>
        </w:rPr>
        <w:t xml:space="preserve">                      </w:t>
      </w:r>
      <w:r w:rsidRPr="00AB3872">
        <w:rPr>
          <w:rFonts w:ascii="Calibri" w:hAnsi="Calibri" w:hint="eastAsia"/>
          <w:bCs/>
          <w:kern w:val="10"/>
        </w:rPr>
        <w:t>吕晓峰</w:t>
      </w:r>
      <w:r w:rsidRPr="00AB3872">
        <w:rPr>
          <w:rFonts w:ascii="Calibri" w:hAnsi="Calibri" w:hint="eastAsia"/>
          <w:bCs/>
          <w:kern w:val="10"/>
        </w:rPr>
        <w:t xml:space="preserve">                     </w:t>
      </w:r>
      <w:r w:rsidRPr="00AB3872">
        <w:rPr>
          <w:rFonts w:ascii="Calibri" w:hAnsi="Calibri"/>
          <w:bCs/>
          <w:kern w:val="10"/>
        </w:rPr>
        <w:t xml:space="preserve"> </w:t>
      </w:r>
      <w:r w:rsidRPr="00AB3872">
        <w:rPr>
          <w:rFonts w:ascii="Calibri" w:hAnsi="Calibri" w:hint="eastAsia"/>
          <w:bCs/>
          <w:kern w:val="10"/>
        </w:rPr>
        <w:t xml:space="preserve"> </w:t>
      </w:r>
      <w:r w:rsidRPr="00AB3872">
        <w:rPr>
          <w:rFonts w:ascii="Calibri" w:hAnsi="Calibri" w:hint="eastAsia"/>
          <w:bCs/>
          <w:kern w:val="10"/>
        </w:rPr>
        <w:t>张</w:t>
      </w:r>
      <w:r w:rsidRPr="00AB3872">
        <w:rPr>
          <w:rFonts w:ascii="Calibri" w:hAnsi="Calibri" w:hint="eastAsia"/>
          <w:bCs/>
          <w:kern w:val="10"/>
        </w:rPr>
        <w:t xml:space="preserve"> </w:t>
      </w:r>
      <w:r w:rsidRPr="00AB3872">
        <w:rPr>
          <w:rFonts w:ascii="Calibri" w:hAnsi="Calibri" w:hint="eastAsia"/>
          <w:bCs/>
          <w:kern w:val="10"/>
        </w:rPr>
        <w:t>帅</w:t>
      </w:r>
    </w:p>
    <w:p w14:paraId="5273ECC3" w14:textId="77777777" w:rsidR="009C13C1" w:rsidRPr="00AB3872" w:rsidRDefault="009C13C1" w:rsidP="009C13C1">
      <w:pPr>
        <w:spacing w:line="360" w:lineRule="auto"/>
        <w:rPr>
          <w:szCs w:val="24"/>
        </w:rPr>
      </w:pPr>
    </w:p>
    <w:p w14:paraId="444ED80C" w14:textId="77777777" w:rsidR="009C13C1" w:rsidRPr="00AB3872" w:rsidRDefault="009C13C1" w:rsidP="009C13C1">
      <w:pPr>
        <w:spacing w:line="360" w:lineRule="auto"/>
        <w:rPr>
          <w:szCs w:val="24"/>
        </w:rPr>
      </w:pPr>
    </w:p>
    <w:p w14:paraId="1FC30AB8" w14:textId="77777777" w:rsidR="009C13C1" w:rsidRPr="00AB3872" w:rsidRDefault="009C13C1" w:rsidP="009C13C1">
      <w:pPr>
        <w:spacing w:line="360" w:lineRule="auto"/>
        <w:rPr>
          <w:szCs w:val="24"/>
        </w:rPr>
      </w:pPr>
    </w:p>
    <w:p w14:paraId="187EFDD4" w14:textId="77777777" w:rsidR="009C13C1" w:rsidRPr="00AB3872" w:rsidRDefault="009C13C1" w:rsidP="009C13C1"/>
    <w:p w14:paraId="5ADC5E58" w14:textId="77777777" w:rsidR="009C13C1" w:rsidRPr="00AB3872" w:rsidRDefault="009C13C1" w:rsidP="009C13C1">
      <w:pPr>
        <w:spacing w:line="360" w:lineRule="auto"/>
        <w:rPr>
          <w:rFonts w:ascii="Calibri" w:hAnsi="Calibri"/>
        </w:rPr>
      </w:pPr>
    </w:p>
    <w:p w14:paraId="531C35E0" w14:textId="77777777" w:rsidR="009C13C1" w:rsidRPr="00AB3872" w:rsidRDefault="009C13C1" w:rsidP="009C13C1">
      <w:pPr>
        <w:spacing w:line="360" w:lineRule="auto"/>
        <w:rPr>
          <w:rFonts w:ascii="Calibri" w:hAnsi="Calibri"/>
        </w:rPr>
      </w:pPr>
    </w:p>
    <w:p w14:paraId="7C4BBF64" w14:textId="77777777" w:rsidR="009C13C1" w:rsidRPr="00AB3872" w:rsidRDefault="009C13C1" w:rsidP="009C13C1">
      <w:pPr>
        <w:spacing w:line="360" w:lineRule="auto"/>
        <w:jc w:val="right"/>
        <w:rPr>
          <w:rFonts w:ascii="Calibri" w:hAnsi="Calibri"/>
        </w:rPr>
      </w:pPr>
      <w:r w:rsidRPr="00AB3872">
        <w:rPr>
          <w:rFonts w:ascii="Calibri" w:hAnsi="Calibri" w:hint="eastAsia"/>
        </w:rPr>
        <w:t>中</w:t>
      </w:r>
      <w:proofErr w:type="gramStart"/>
      <w:r w:rsidRPr="00AB3872">
        <w:rPr>
          <w:rFonts w:ascii="Calibri" w:hAnsi="Calibri" w:hint="eastAsia"/>
        </w:rPr>
        <w:t>信建投证券</w:t>
      </w:r>
      <w:proofErr w:type="gramEnd"/>
      <w:r w:rsidRPr="00AB3872">
        <w:rPr>
          <w:rFonts w:ascii="Calibri" w:hAnsi="Calibri" w:hint="eastAsia"/>
        </w:rPr>
        <w:t>股份有限公司</w:t>
      </w:r>
    </w:p>
    <w:p w14:paraId="00FA6A8D" w14:textId="77777777" w:rsidR="009C13C1" w:rsidRPr="00AB3872" w:rsidRDefault="009C13C1" w:rsidP="009C13C1">
      <w:pPr>
        <w:spacing w:line="360" w:lineRule="auto"/>
        <w:jc w:val="right"/>
        <w:rPr>
          <w:rFonts w:ascii="Calibri" w:hAnsi="Calibri"/>
        </w:rPr>
      </w:pPr>
    </w:p>
    <w:p w14:paraId="21D64338" w14:textId="77777777" w:rsidR="009C13C1" w:rsidRPr="00AB3872" w:rsidRDefault="009C13C1" w:rsidP="009C13C1">
      <w:pPr>
        <w:wordWrap w:val="0"/>
        <w:spacing w:line="360" w:lineRule="auto"/>
        <w:jc w:val="right"/>
        <w:rPr>
          <w:rFonts w:ascii="Calibri" w:hAnsi="Calibri"/>
        </w:rPr>
      </w:pPr>
      <w:r w:rsidRPr="00AB3872">
        <w:rPr>
          <w:rFonts w:ascii="Calibri" w:hAnsi="Calibri" w:hint="eastAsia"/>
        </w:rPr>
        <w:t>年</w:t>
      </w:r>
      <w:r w:rsidRPr="00AB3872">
        <w:rPr>
          <w:rFonts w:ascii="Calibri" w:hAnsi="Calibri" w:hint="eastAsia"/>
        </w:rPr>
        <w:t xml:space="preserve">    </w:t>
      </w:r>
      <w:r w:rsidRPr="00AB3872">
        <w:rPr>
          <w:rFonts w:ascii="Calibri" w:hAnsi="Calibri" w:hint="eastAsia"/>
        </w:rPr>
        <w:t>月</w:t>
      </w:r>
      <w:r w:rsidRPr="00AB3872">
        <w:rPr>
          <w:rFonts w:ascii="Calibri" w:hAnsi="Calibri" w:hint="eastAsia"/>
        </w:rPr>
        <w:t xml:space="preserve">    </w:t>
      </w:r>
      <w:r w:rsidRPr="00AB3872">
        <w:rPr>
          <w:rFonts w:ascii="Calibri" w:hAnsi="Calibri" w:hint="eastAsia"/>
        </w:rPr>
        <w:t>日</w:t>
      </w:r>
    </w:p>
    <w:p w14:paraId="1A5CD538" w14:textId="77777777" w:rsidR="00AB78FE" w:rsidRPr="00AB3872" w:rsidRDefault="00AB78FE" w:rsidP="009C13C1">
      <w:pPr>
        <w:spacing w:beforeLines="50" w:before="156" w:line="360" w:lineRule="auto"/>
        <w:ind w:firstLineChars="200" w:firstLine="480"/>
        <w:rPr>
          <w:szCs w:val="24"/>
        </w:rPr>
      </w:pPr>
    </w:p>
    <w:bookmarkEnd w:id="2"/>
    <w:p w14:paraId="178C8E8B" w14:textId="357F6D58" w:rsidR="00F762EE" w:rsidRPr="00AB3872" w:rsidRDefault="00F762EE" w:rsidP="008D67F4">
      <w:pPr>
        <w:pStyle w:val="2"/>
        <w:spacing w:line="360" w:lineRule="auto"/>
        <w:ind w:left="480" w:firstLineChars="200" w:firstLine="480"/>
        <w:jc w:val="right"/>
        <w:rPr>
          <w:color w:val="000000"/>
          <w:sz w:val="24"/>
          <w:szCs w:val="24"/>
        </w:rPr>
      </w:pPr>
    </w:p>
    <w:sectPr w:rsidR="00F762EE" w:rsidRPr="00AB3872" w:rsidSect="007078B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C386" w14:textId="77777777" w:rsidR="00FE18CA" w:rsidRDefault="00FE18CA" w:rsidP="00787C8D">
      <w:r>
        <w:separator/>
      </w:r>
    </w:p>
  </w:endnote>
  <w:endnote w:type="continuationSeparator" w:id="0">
    <w:p w14:paraId="1FAB2494" w14:textId="77777777" w:rsidR="00FE18CA" w:rsidRDefault="00FE18CA" w:rsidP="007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606003"/>
      <w:docPartObj>
        <w:docPartGallery w:val="Page Numbers (Bottom of Page)"/>
        <w:docPartUnique/>
      </w:docPartObj>
    </w:sdtPr>
    <w:sdtEndPr/>
    <w:sdtContent>
      <w:p w14:paraId="62E278D3" w14:textId="2406B898" w:rsidR="00E85A40" w:rsidRDefault="008650F9" w:rsidP="001D0F36">
        <w:pPr>
          <w:pStyle w:val="a5"/>
          <w:jc w:val="center"/>
        </w:pPr>
        <w:r>
          <w:fldChar w:fldCharType="begin"/>
        </w:r>
        <w:r w:rsidR="00E85A40">
          <w:instrText>PAGE   \* MERGEFORMAT</w:instrText>
        </w:r>
        <w:r>
          <w:fldChar w:fldCharType="separate"/>
        </w:r>
        <w:r w:rsidR="003E69F2" w:rsidRPr="003E69F2">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90CC6" w14:textId="77777777" w:rsidR="00FE18CA" w:rsidRDefault="00FE18CA" w:rsidP="00787C8D">
      <w:r>
        <w:separator/>
      </w:r>
    </w:p>
  </w:footnote>
  <w:footnote w:type="continuationSeparator" w:id="0">
    <w:p w14:paraId="319299EE" w14:textId="77777777" w:rsidR="00FE18CA" w:rsidRDefault="00FE18CA" w:rsidP="0078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A8381B0E"/>
    <w:lvl w:ilvl="0">
      <w:start w:val="1"/>
      <w:numFmt w:val="decimal"/>
      <w:pStyle w:val="1"/>
      <w:lvlText w:val="第 %1 条"/>
      <w:lvlJc w:val="center"/>
      <w:pPr>
        <w:tabs>
          <w:tab w:val="num" w:pos="720"/>
        </w:tabs>
        <w:ind w:left="0" w:firstLine="0"/>
      </w:pPr>
      <w:rPr>
        <w:rFonts w:ascii="Arial" w:eastAsia="Garamond" w:hAnsi="Arial" w:cs="Arial" w:hint="default"/>
        <w:b/>
        <w:bCs w:val="0"/>
        <w:i w:val="0"/>
        <w:iCs w:val="0"/>
        <w:caps/>
        <w:smallCaps w:val="0"/>
        <w:strike w:val="0"/>
        <w:dstrike w:val="0"/>
        <w:vanish w:val="0"/>
        <w:color w:val="000000"/>
        <w:kern w:val="0"/>
        <w:position w:val="0"/>
        <w:sz w:val="24"/>
        <w:szCs w:val="24"/>
        <w:u w:val="none"/>
        <w:vertAlign w:val="baseline"/>
        <w:em w:val="none"/>
      </w:rPr>
    </w:lvl>
    <w:lvl w:ilvl="1">
      <w:start w:val="1"/>
      <w:numFmt w:val="decimal"/>
      <w:pStyle w:val="Legal2L2"/>
      <w:lvlText w:val="%1.%2"/>
      <w:lvlJc w:val="left"/>
      <w:pPr>
        <w:tabs>
          <w:tab w:val="num" w:pos="1440"/>
        </w:tabs>
        <w:ind w:left="0" w:firstLine="720"/>
      </w:pPr>
      <w:rPr>
        <w:rFonts w:ascii="新宋体" w:hAnsi="新宋体" w:cs="Arial" w:hint="default"/>
        <w:b w:val="0"/>
        <w:i w:val="0"/>
        <w:caps w:val="0"/>
        <w:smallCaps w:val="0"/>
        <w:strike w:val="0"/>
        <w:dstrike w:val="0"/>
        <w:vanish w:val="0"/>
        <w:color w:val="000000"/>
        <w:u w:val="none"/>
        <w:vertAlign w:val="baseline"/>
      </w:rPr>
    </w:lvl>
    <w:lvl w:ilvl="2">
      <w:start w:val="1"/>
      <w:numFmt w:val="lowerLetter"/>
      <w:lvlText w:val="(%3)"/>
      <w:lvlJc w:val="left"/>
      <w:pPr>
        <w:tabs>
          <w:tab w:val="num" w:pos="2160"/>
        </w:tabs>
        <w:ind w:left="2160" w:hanging="720"/>
      </w:pPr>
      <w:rPr>
        <w:rFonts w:hint="eastAsia"/>
        <w:b w:val="0"/>
        <w:i w:val="0"/>
        <w:caps w:val="0"/>
        <w:smallCaps w:val="0"/>
        <w:strike w:val="0"/>
        <w:dstrike w:val="0"/>
        <w:vanish w:val="0"/>
        <w:color w:val="000000"/>
        <w:u w:val="none"/>
        <w:vertAlign w:val="baseline"/>
        <w:lang w:val="en-US"/>
      </w:rPr>
    </w:lvl>
    <w:lvl w:ilvl="3">
      <w:start w:val="1"/>
      <w:numFmt w:val="lowerRoman"/>
      <w:pStyle w:val="Legal2L4"/>
      <w:lvlText w:val="(%4)"/>
      <w:lvlJc w:val="left"/>
      <w:pPr>
        <w:tabs>
          <w:tab w:val="num" w:pos="1998"/>
        </w:tabs>
        <w:ind w:left="-882" w:firstLine="2304"/>
      </w:pPr>
      <w:rPr>
        <w:rFonts w:ascii="Arial" w:eastAsia="@新宋体" w:hAnsi="Arial" w:cs="Arial" w:hint="default"/>
        <w:b w:val="0"/>
        <w:i w:val="0"/>
        <w:caps w:val="0"/>
        <w:smallCaps w:val="0"/>
        <w:strike w:val="0"/>
        <w:dstrike w:val="0"/>
        <w:vanish w:val="0"/>
        <w:color w:val="000000"/>
        <w:u w:val="none"/>
        <w:vertAlign w:val="baseline"/>
      </w:rPr>
    </w:lvl>
    <w:lvl w:ilvl="4">
      <w:start w:val="1"/>
      <w:numFmt w:val="decimal"/>
      <w:lvlText w:val="(%5)"/>
      <w:lvlJc w:val="left"/>
      <w:pPr>
        <w:tabs>
          <w:tab w:val="num" w:pos="3600"/>
        </w:tabs>
        <w:ind w:left="0" w:firstLine="2880"/>
      </w:pPr>
      <w:rPr>
        <w:rFonts w:ascii="Arial" w:eastAsia="@新宋体" w:hAnsi="Arial" w:cs="Arial" w:hint="default"/>
        <w:b w:val="0"/>
        <w:i w:val="0"/>
        <w:caps w:val="0"/>
        <w:smallCaps w:val="0"/>
        <w:strike w:val="0"/>
        <w:dstrike w:val="0"/>
        <w:vanish w:val="0"/>
        <w:color w:val="000000"/>
        <w:u w:val="none"/>
        <w:vertAlign w:val="baseline"/>
      </w:rPr>
    </w:lvl>
    <w:lvl w:ilvl="5">
      <w:start w:val="1"/>
      <w:numFmt w:val="lowerLetter"/>
      <w:lvlText w:val="%6."/>
      <w:lvlJc w:val="left"/>
      <w:pPr>
        <w:tabs>
          <w:tab w:val="num" w:pos="4320"/>
        </w:tabs>
        <w:ind w:left="0" w:firstLine="3600"/>
      </w:pPr>
      <w:rPr>
        <w:rFonts w:hint="eastAsia"/>
        <w:b w:val="0"/>
        <w:i w:val="0"/>
        <w:caps w:val="0"/>
        <w:smallCaps w:val="0"/>
        <w:strike w:val="0"/>
        <w:dstrike w:val="0"/>
        <w:vanish w:val="0"/>
        <w:color w:val="000000"/>
        <w:u w:val="none"/>
        <w:vertAlign w:val="baseline"/>
      </w:rPr>
    </w:lvl>
    <w:lvl w:ilvl="6">
      <w:start w:val="1"/>
      <w:numFmt w:val="lowerRoman"/>
      <w:lvlText w:val="%7."/>
      <w:lvlJc w:val="right"/>
      <w:pPr>
        <w:tabs>
          <w:tab w:val="num" w:pos="5040"/>
        </w:tabs>
        <w:ind w:left="0" w:firstLine="4464"/>
      </w:pPr>
      <w:rPr>
        <w:rFonts w:hint="eastAsia"/>
        <w:b w:val="0"/>
        <w:i w:val="0"/>
        <w:caps w:val="0"/>
        <w:smallCaps w:val="0"/>
        <w:strike w:val="0"/>
        <w:dstrike w:val="0"/>
        <w:vanish w:val="0"/>
        <w:color w:val="000000"/>
        <w:u w:val="none"/>
        <w:vertAlign w:val="baseline"/>
      </w:rPr>
    </w:lvl>
    <w:lvl w:ilvl="7">
      <w:start w:val="1"/>
      <w:numFmt w:val="lowerLetter"/>
      <w:lvlText w:val="(%8)"/>
      <w:lvlJc w:val="left"/>
      <w:pPr>
        <w:tabs>
          <w:tab w:val="num" w:pos="1440"/>
        </w:tabs>
        <w:ind w:left="0" w:firstLine="720"/>
      </w:pPr>
      <w:rPr>
        <w:rFonts w:hint="eastAsia"/>
        <w:b w:val="0"/>
        <w:i w:val="0"/>
        <w:caps w:val="0"/>
        <w:smallCaps w:val="0"/>
        <w:strike w:val="0"/>
        <w:dstrike w:val="0"/>
        <w:vanish w:val="0"/>
        <w:color w:val="000000"/>
        <w:u w:val="none"/>
        <w:vertAlign w:val="baseline"/>
      </w:rPr>
    </w:lvl>
    <w:lvl w:ilvl="8">
      <w:start w:val="1"/>
      <w:numFmt w:val="lowerRoman"/>
      <w:lvlText w:val="(%9)"/>
      <w:lvlJc w:val="right"/>
      <w:pPr>
        <w:tabs>
          <w:tab w:val="num" w:pos="2160"/>
        </w:tabs>
        <w:ind w:left="0" w:firstLine="1584"/>
      </w:pPr>
      <w:rPr>
        <w:rFonts w:hint="eastAsia"/>
        <w:b w:val="0"/>
        <w:i w:val="0"/>
        <w:caps w:val="0"/>
        <w:smallCaps w:val="0"/>
        <w:strike w:val="0"/>
        <w:dstrike w:val="0"/>
        <w:vanish w:val="0"/>
        <w:color w:val="000000"/>
        <w:u w:val="none"/>
        <w:vertAlign w:val="baseline"/>
      </w:rPr>
    </w:lvl>
  </w:abstractNum>
  <w:abstractNum w:abstractNumId="1" w15:restartNumberingAfterBreak="0">
    <w:nsid w:val="02B20AC2"/>
    <w:multiLevelType w:val="hybridMultilevel"/>
    <w:tmpl w:val="DF8A3C3C"/>
    <w:lvl w:ilvl="0" w:tplc="BA60A2C8">
      <w:start w:val="1"/>
      <w:numFmt w:val="decimal"/>
      <w:lvlText w:val="(%1)"/>
      <w:lvlJc w:val="left"/>
      <w:pPr>
        <w:ind w:left="900" w:hanging="420"/>
      </w:pPr>
      <w:rPr>
        <w:rFonts w:ascii="Arial" w:hAnsi="Arial" w:cs="Arial" w:hint="default"/>
        <w:b w:val="0"/>
        <w:bCs w:val="0"/>
        <w:i w:val="0"/>
        <w:iCs w:val="0"/>
        <w:caps w:val="0"/>
        <w:smallCaps w:val="0"/>
        <w:strike w:val="0"/>
        <w:dstrike w:val="0"/>
        <w:color w:val="000000"/>
        <w:spacing w:val="0"/>
        <w:w w:val="100"/>
        <w:kern w:val="0"/>
        <w:position w:val="0"/>
        <w:sz w:val="20"/>
        <w:szCs w:val="20"/>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89434E"/>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F014856"/>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1B2048C"/>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5396D94"/>
    <w:multiLevelType w:val="hybridMultilevel"/>
    <w:tmpl w:val="336E8564"/>
    <w:lvl w:ilvl="0" w:tplc="2EA008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64F1865"/>
    <w:multiLevelType w:val="hybridMultilevel"/>
    <w:tmpl w:val="FB96391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21C1E16"/>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3C7C2EAC"/>
    <w:multiLevelType w:val="hybridMultilevel"/>
    <w:tmpl w:val="6E2E7C80"/>
    <w:lvl w:ilvl="0" w:tplc="9CEA2C62">
      <w:start w:val="1"/>
      <w:numFmt w:val="lowerLetter"/>
      <w:lvlText w:val="(%1)"/>
      <w:lvlJc w:val="left"/>
      <w:pPr>
        <w:ind w:left="1980" w:hanging="420"/>
      </w:pPr>
      <w:rPr>
        <w:rFonts w:hint="default"/>
        <w:i/>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9" w15:restartNumberingAfterBreak="0">
    <w:nsid w:val="40C75C75"/>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46CC3A99"/>
    <w:multiLevelType w:val="hybridMultilevel"/>
    <w:tmpl w:val="2E6C6D00"/>
    <w:lvl w:ilvl="0" w:tplc="AF164A5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4C92433B"/>
    <w:multiLevelType w:val="hybridMultilevel"/>
    <w:tmpl w:val="91B6A0B2"/>
    <w:lvl w:ilvl="0" w:tplc="9F400A92">
      <w:start w:val="1"/>
      <w:numFmt w:val="lowerLetter"/>
      <w:lvlText w:val="(%1)"/>
      <w:lvlJc w:val="left"/>
      <w:pPr>
        <w:ind w:left="1980" w:hanging="4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2" w15:restartNumberingAfterBreak="0">
    <w:nsid w:val="4E7820FF"/>
    <w:multiLevelType w:val="hybridMultilevel"/>
    <w:tmpl w:val="F8FC7FDA"/>
    <w:lvl w:ilvl="0" w:tplc="6298BBE2">
      <w:start w:val="1"/>
      <w:numFmt w:val="lowerLetter"/>
      <w:lvlText w:val="(%1)"/>
      <w:lvlJc w:val="left"/>
      <w:pPr>
        <w:ind w:left="2825" w:hanging="720"/>
      </w:pPr>
      <w:rPr>
        <w:rFonts w:hint="default"/>
        <w:i/>
      </w:rPr>
    </w:lvl>
    <w:lvl w:ilvl="1" w:tplc="04090019" w:tentative="1">
      <w:start w:val="1"/>
      <w:numFmt w:val="lowerLetter"/>
      <w:lvlText w:val="%2)"/>
      <w:lvlJc w:val="left"/>
      <w:pPr>
        <w:ind w:left="2945" w:hanging="420"/>
      </w:pPr>
    </w:lvl>
    <w:lvl w:ilvl="2" w:tplc="0409001B" w:tentative="1">
      <w:start w:val="1"/>
      <w:numFmt w:val="lowerRoman"/>
      <w:lvlText w:val="%3."/>
      <w:lvlJc w:val="right"/>
      <w:pPr>
        <w:ind w:left="3365" w:hanging="420"/>
      </w:pPr>
    </w:lvl>
    <w:lvl w:ilvl="3" w:tplc="0409000F" w:tentative="1">
      <w:start w:val="1"/>
      <w:numFmt w:val="decimal"/>
      <w:lvlText w:val="%4."/>
      <w:lvlJc w:val="left"/>
      <w:pPr>
        <w:ind w:left="3785" w:hanging="420"/>
      </w:pPr>
    </w:lvl>
    <w:lvl w:ilvl="4" w:tplc="04090019" w:tentative="1">
      <w:start w:val="1"/>
      <w:numFmt w:val="lowerLetter"/>
      <w:lvlText w:val="%5)"/>
      <w:lvlJc w:val="left"/>
      <w:pPr>
        <w:ind w:left="4205" w:hanging="420"/>
      </w:pPr>
    </w:lvl>
    <w:lvl w:ilvl="5" w:tplc="0409001B" w:tentative="1">
      <w:start w:val="1"/>
      <w:numFmt w:val="lowerRoman"/>
      <w:lvlText w:val="%6."/>
      <w:lvlJc w:val="right"/>
      <w:pPr>
        <w:ind w:left="4625" w:hanging="420"/>
      </w:pPr>
    </w:lvl>
    <w:lvl w:ilvl="6" w:tplc="0409000F" w:tentative="1">
      <w:start w:val="1"/>
      <w:numFmt w:val="decimal"/>
      <w:lvlText w:val="%7."/>
      <w:lvlJc w:val="left"/>
      <w:pPr>
        <w:ind w:left="5045" w:hanging="420"/>
      </w:pPr>
    </w:lvl>
    <w:lvl w:ilvl="7" w:tplc="04090019" w:tentative="1">
      <w:start w:val="1"/>
      <w:numFmt w:val="lowerLetter"/>
      <w:lvlText w:val="%8)"/>
      <w:lvlJc w:val="left"/>
      <w:pPr>
        <w:ind w:left="5465" w:hanging="420"/>
      </w:pPr>
    </w:lvl>
    <w:lvl w:ilvl="8" w:tplc="0409001B" w:tentative="1">
      <w:start w:val="1"/>
      <w:numFmt w:val="lowerRoman"/>
      <w:lvlText w:val="%9."/>
      <w:lvlJc w:val="right"/>
      <w:pPr>
        <w:ind w:left="5885" w:hanging="420"/>
      </w:pPr>
    </w:lvl>
  </w:abstractNum>
  <w:abstractNum w:abstractNumId="13" w15:restartNumberingAfterBreak="0">
    <w:nsid w:val="55D34CAF"/>
    <w:multiLevelType w:val="hybridMultilevel"/>
    <w:tmpl w:val="91B6A0B2"/>
    <w:lvl w:ilvl="0" w:tplc="9F400A92">
      <w:start w:val="1"/>
      <w:numFmt w:val="lowerLetter"/>
      <w:lvlText w:val="(%1)"/>
      <w:lvlJc w:val="left"/>
      <w:pPr>
        <w:ind w:left="1980" w:hanging="4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4" w15:restartNumberingAfterBreak="0">
    <w:nsid w:val="584C2226"/>
    <w:multiLevelType w:val="hybridMultilevel"/>
    <w:tmpl w:val="421ED6EA"/>
    <w:lvl w:ilvl="0" w:tplc="E6864898">
      <w:start w:val="1"/>
      <w:numFmt w:val="lowerLetter"/>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5" w15:restartNumberingAfterBreak="0">
    <w:nsid w:val="59B37F75"/>
    <w:multiLevelType w:val="hybridMultilevel"/>
    <w:tmpl w:val="A022B9BE"/>
    <w:lvl w:ilvl="0" w:tplc="2EA008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47068F9"/>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49B6183"/>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EBF7581"/>
    <w:multiLevelType w:val="multilevel"/>
    <w:tmpl w:val="6EBF75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5B2953"/>
    <w:multiLevelType w:val="hybridMultilevel"/>
    <w:tmpl w:val="9B302B32"/>
    <w:lvl w:ilvl="0" w:tplc="7E82DABA">
      <w:start w:val="1"/>
      <w:numFmt w:val="decimal"/>
      <w:suff w:val="space"/>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1995AF0"/>
    <w:multiLevelType w:val="hybridMultilevel"/>
    <w:tmpl w:val="421ED6EA"/>
    <w:lvl w:ilvl="0" w:tplc="E6864898">
      <w:start w:val="1"/>
      <w:numFmt w:val="lowerLetter"/>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1" w15:restartNumberingAfterBreak="0">
    <w:nsid w:val="78022CB8"/>
    <w:multiLevelType w:val="hybridMultilevel"/>
    <w:tmpl w:val="91B6A0B2"/>
    <w:lvl w:ilvl="0" w:tplc="9F400A92">
      <w:start w:val="1"/>
      <w:numFmt w:val="lowerLetter"/>
      <w:lvlText w:val="(%1)"/>
      <w:lvlJc w:val="left"/>
      <w:pPr>
        <w:ind w:left="1980" w:hanging="4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2" w15:restartNumberingAfterBreak="0">
    <w:nsid w:val="793C3908"/>
    <w:multiLevelType w:val="hybridMultilevel"/>
    <w:tmpl w:val="2D768954"/>
    <w:lvl w:ilvl="0" w:tplc="80FA6E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B5963E2"/>
    <w:multiLevelType w:val="hybridMultilevel"/>
    <w:tmpl w:val="DA4E9A60"/>
    <w:lvl w:ilvl="0" w:tplc="B4769B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B6F2EE5"/>
    <w:multiLevelType w:val="hybridMultilevel"/>
    <w:tmpl w:val="81923B2A"/>
    <w:lvl w:ilvl="0" w:tplc="E6864898">
      <w:start w:val="1"/>
      <w:numFmt w:val="lowerLetter"/>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18"/>
  </w:num>
  <w:num w:numId="2">
    <w:abstractNumId w:val="15"/>
  </w:num>
  <w:num w:numId="3">
    <w:abstractNumId w:val="3"/>
  </w:num>
  <w:num w:numId="4">
    <w:abstractNumId w:val="8"/>
  </w:num>
  <w:num w:numId="5">
    <w:abstractNumId w:val="23"/>
  </w:num>
  <w:num w:numId="6">
    <w:abstractNumId w:val="20"/>
  </w:num>
  <w:num w:numId="7">
    <w:abstractNumId w:val="12"/>
  </w:num>
  <w:num w:numId="8">
    <w:abstractNumId w:val="1"/>
  </w:num>
  <w:num w:numId="9">
    <w:abstractNumId w:val="4"/>
  </w:num>
  <w:num w:numId="10">
    <w:abstractNumId w:val="9"/>
  </w:num>
  <w:num w:numId="11">
    <w:abstractNumId w:val="0"/>
  </w:num>
  <w:num w:numId="12">
    <w:abstractNumId w:val="14"/>
  </w:num>
  <w:num w:numId="13">
    <w:abstractNumId w:val="24"/>
  </w:num>
  <w:num w:numId="14">
    <w:abstractNumId w:val="16"/>
  </w:num>
  <w:num w:numId="15">
    <w:abstractNumId w:val="13"/>
  </w:num>
  <w:num w:numId="16">
    <w:abstractNumId w:val="7"/>
  </w:num>
  <w:num w:numId="17">
    <w:abstractNumId w:val="11"/>
  </w:num>
  <w:num w:numId="18">
    <w:abstractNumId w:val="21"/>
  </w:num>
  <w:num w:numId="19">
    <w:abstractNumId w:val="22"/>
  </w:num>
  <w:num w:numId="20">
    <w:abstractNumId w:val="10"/>
  </w:num>
  <w:num w:numId="21">
    <w:abstractNumId w:val="17"/>
  </w:num>
  <w:num w:numId="22">
    <w:abstractNumId w:val="2"/>
  </w:num>
  <w:num w:numId="23">
    <w:abstractNumId w:val="5"/>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3"/>
    <w:rsid w:val="00000EDD"/>
    <w:rsid w:val="00010F95"/>
    <w:rsid w:val="0001691A"/>
    <w:rsid w:val="00017A48"/>
    <w:rsid w:val="00032327"/>
    <w:rsid w:val="00034A70"/>
    <w:rsid w:val="00036B99"/>
    <w:rsid w:val="00040EED"/>
    <w:rsid w:val="0004608D"/>
    <w:rsid w:val="0004650C"/>
    <w:rsid w:val="00050BC4"/>
    <w:rsid w:val="00053016"/>
    <w:rsid w:val="00060879"/>
    <w:rsid w:val="00061255"/>
    <w:rsid w:val="00084334"/>
    <w:rsid w:val="00096B2D"/>
    <w:rsid w:val="00097B51"/>
    <w:rsid w:val="00097CBD"/>
    <w:rsid w:val="000A1417"/>
    <w:rsid w:val="000A1805"/>
    <w:rsid w:val="000A3EAB"/>
    <w:rsid w:val="000A555B"/>
    <w:rsid w:val="000B4113"/>
    <w:rsid w:val="000D272B"/>
    <w:rsid w:val="000D622C"/>
    <w:rsid w:val="000D6A83"/>
    <w:rsid w:val="000E097D"/>
    <w:rsid w:val="000E6081"/>
    <w:rsid w:val="000E7193"/>
    <w:rsid w:val="001011ED"/>
    <w:rsid w:val="00102633"/>
    <w:rsid w:val="00103DB5"/>
    <w:rsid w:val="00110033"/>
    <w:rsid w:val="00111415"/>
    <w:rsid w:val="00111E42"/>
    <w:rsid w:val="00120AEB"/>
    <w:rsid w:val="0012134B"/>
    <w:rsid w:val="001226D8"/>
    <w:rsid w:val="00127F30"/>
    <w:rsid w:val="001336A9"/>
    <w:rsid w:val="0014203D"/>
    <w:rsid w:val="00143673"/>
    <w:rsid w:val="00143901"/>
    <w:rsid w:val="00145B73"/>
    <w:rsid w:val="00153459"/>
    <w:rsid w:val="00161C9F"/>
    <w:rsid w:val="00166870"/>
    <w:rsid w:val="0017058E"/>
    <w:rsid w:val="00174D23"/>
    <w:rsid w:val="001870C0"/>
    <w:rsid w:val="00187F5F"/>
    <w:rsid w:val="001909A6"/>
    <w:rsid w:val="001928BA"/>
    <w:rsid w:val="00192B7C"/>
    <w:rsid w:val="0019671B"/>
    <w:rsid w:val="001A1AB9"/>
    <w:rsid w:val="001A31C2"/>
    <w:rsid w:val="001B4E38"/>
    <w:rsid w:val="001B7AB9"/>
    <w:rsid w:val="001C4203"/>
    <w:rsid w:val="001D0F36"/>
    <w:rsid w:val="001D18DD"/>
    <w:rsid w:val="001D4C10"/>
    <w:rsid w:val="001D501C"/>
    <w:rsid w:val="001E333A"/>
    <w:rsid w:val="001F03DB"/>
    <w:rsid w:val="001F1110"/>
    <w:rsid w:val="001F2236"/>
    <w:rsid w:val="001F2F87"/>
    <w:rsid w:val="00203DB0"/>
    <w:rsid w:val="00204278"/>
    <w:rsid w:val="002065EC"/>
    <w:rsid w:val="0021751C"/>
    <w:rsid w:val="002254F9"/>
    <w:rsid w:val="00233CC6"/>
    <w:rsid w:val="00244FEC"/>
    <w:rsid w:val="00266210"/>
    <w:rsid w:val="00282251"/>
    <w:rsid w:val="00284539"/>
    <w:rsid w:val="002922CE"/>
    <w:rsid w:val="002A0BE2"/>
    <w:rsid w:val="002A59A5"/>
    <w:rsid w:val="002A5A20"/>
    <w:rsid w:val="002A6977"/>
    <w:rsid w:val="002A768C"/>
    <w:rsid w:val="002B1636"/>
    <w:rsid w:val="002B2043"/>
    <w:rsid w:val="002B3132"/>
    <w:rsid w:val="002B4100"/>
    <w:rsid w:val="002B4ED3"/>
    <w:rsid w:val="002C0090"/>
    <w:rsid w:val="002C00B8"/>
    <w:rsid w:val="002C1C2B"/>
    <w:rsid w:val="002C4AB6"/>
    <w:rsid w:val="002C5E8C"/>
    <w:rsid w:val="002C6C6A"/>
    <w:rsid w:val="002D07A4"/>
    <w:rsid w:val="002D1D2A"/>
    <w:rsid w:val="002D3781"/>
    <w:rsid w:val="002E76F7"/>
    <w:rsid w:val="002F1DAD"/>
    <w:rsid w:val="002F5AAF"/>
    <w:rsid w:val="002F6412"/>
    <w:rsid w:val="002F6625"/>
    <w:rsid w:val="002F6C67"/>
    <w:rsid w:val="002F7471"/>
    <w:rsid w:val="00307A68"/>
    <w:rsid w:val="003101E8"/>
    <w:rsid w:val="0031787C"/>
    <w:rsid w:val="00334B3A"/>
    <w:rsid w:val="003352A1"/>
    <w:rsid w:val="003401D4"/>
    <w:rsid w:val="00341F92"/>
    <w:rsid w:val="0034231B"/>
    <w:rsid w:val="00350A8B"/>
    <w:rsid w:val="00352295"/>
    <w:rsid w:val="003544F7"/>
    <w:rsid w:val="00356C59"/>
    <w:rsid w:val="00361AD5"/>
    <w:rsid w:val="003644F1"/>
    <w:rsid w:val="003666B1"/>
    <w:rsid w:val="00372353"/>
    <w:rsid w:val="003807DA"/>
    <w:rsid w:val="0038546B"/>
    <w:rsid w:val="00387B49"/>
    <w:rsid w:val="00392138"/>
    <w:rsid w:val="00392DB4"/>
    <w:rsid w:val="00394733"/>
    <w:rsid w:val="003A254A"/>
    <w:rsid w:val="003A5DD9"/>
    <w:rsid w:val="003A64AB"/>
    <w:rsid w:val="003B1160"/>
    <w:rsid w:val="003B1A20"/>
    <w:rsid w:val="003B5795"/>
    <w:rsid w:val="003B7AE2"/>
    <w:rsid w:val="003D0580"/>
    <w:rsid w:val="003D2401"/>
    <w:rsid w:val="003E16A7"/>
    <w:rsid w:val="003E5FE7"/>
    <w:rsid w:val="003E62C8"/>
    <w:rsid w:val="003E69F2"/>
    <w:rsid w:val="003E6AD4"/>
    <w:rsid w:val="003F4950"/>
    <w:rsid w:val="00401E6A"/>
    <w:rsid w:val="004074FC"/>
    <w:rsid w:val="004107A9"/>
    <w:rsid w:val="00415A68"/>
    <w:rsid w:val="00415FE6"/>
    <w:rsid w:val="00421C8D"/>
    <w:rsid w:val="0042274E"/>
    <w:rsid w:val="00423DCF"/>
    <w:rsid w:val="00426288"/>
    <w:rsid w:val="00426A1D"/>
    <w:rsid w:val="0043001B"/>
    <w:rsid w:val="004313DD"/>
    <w:rsid w:val="00434911"/>
    <w:rsid w:val="00434931"/>
    <w:rsid w:val="00435DF1"/>
    <w:rsid w:val="00440EB8"/>
    <w:rsid w:val="0045054B"/>
    <w:rsid w:val="00484EB0"/>
    <w:rsid w:val="004A039B"/>
    <w:rsid w:val="004B1090"/>
    <w:rsid w:val="004B3C5D"/>
    <w:rsid w:val="004B3DE3"/>
    <w:rsid w:val="004C25F6"/>
    <w:rsid w:val="004D02BD"/>
    <w:rsid w:val="004D0E8F"/>
    <w:rsid w:val="004D6A5B"/>
    <w:rsid w:val="004E3CC0"/>
    <w:rsid w:val="004E7CF0"/>
    <w:rsid w:val="004F65C4"/>
    <w:rsid w:val="004F6A6D"/>
    <w:rsid w:val="004F6B24"/>
    <w:rsid w:val="00502F67"/>
    <w:rsid w:val="00504C41"/>
    <w:rsid w:val="00510920"/>
    <w:rsid w:val="0051263B"/>
    <w:rsid w:val="00522526"/>
    <w:rsid w:val="005243CB"/>
    <w:rsid w:val="00525575"/>
    <w:rsid w:val="005278FD"/>
    <w:rsid w:val="00532996"/>
    <w:rsid w:val="0054120B"/>
    <w:rsid w:val="0054203B"/>
    <w:rsid w:val="005427E1"/>
    <w:rsid w:val="0055180B"/>
    <w:rsid w:val="005536F2"/>
    <w:rsid w:val="0055564F"/>
    <w:rsid w:val="00557F43"/>
    <w:rsid w:val="005630EB"/>
    <w:rsid w:val="00563207"/>
    <w:rsid w:val="00564167"/>
    <w:rsid w:val="00565CDF"/>
    <w:rsid w:val="00565D83"/>
    <w:rsid w:val="00565E3B"/>
    <w:rsid w:val="0057076B"/>
    <w:rsid w:val="0057676B"/>
    <w:rsid w:val="00583671"/>
    <w:rsid w:val="00584768"/>
    <w:rsid w:val="00585F94"/>
    <w:rsid w:val="00587F38"/>
    <w:rsid w:val="005944B0"/>
    <w:rsid w:val="00596B51"/>
    <w:rsid w:val="00597D2A"/>
    <w:rsid w:val="005A6F7F"/>
    <w:rsid w:val="005B29B5"/>
    <w:rsid w:val="005C2C75"/>
    <w:rsid w:val="005C612F"/>
    <w:rsid w:val="005C7822"/>
    <w:rsid w:val="005D44A6"/>
    <w:rsid w:val="005D5707"/>
    <w:rsid w:val="005D5B1F"/>
    <w:rsid w:val="005E0346"/>
    <w:rsid w:val="005E2980"/>
    <w:rsid w:val="005E4051"/>
    <w:rsid w:val="005F118C"/>
    <w:rsid w:val="005F169A"/>
    <w:rsid w:val="005F6CBC"/>
    <w:rsid w:val="006032CF"/>
    <w:rsid w:val="00603C7A"/>
    <w:rsid w:val="00604A3B"/>
    <w:rsid w:val="00604F57"/>
    <w:rsid w:val="00607818"/>
    <w:rsid w:val="00607F55"/>
    <w:rsid w:val="00612E30"/>
    <w:rsid w:val="00615AC5"/>
    <w:rsid w:val="006165DF"/>
    <w:rsid w:val="00620D9D"/>
    <w:rsid w:val="00620EB1"/>
    <w:rsid w:val="0062263A"/>
    <w:rsid w:val="00624AF3"/>
    <w:rsid w:val="006332EC"/>
    <w:rsid w:val="006357C0"/>
    <w:rsid w:val="00636484"/>
    <w:rsid w:val="00640B39"/>
    <w:rsid w:val="00662ADC"/>
    <w:rsid w:val="00665C65"/>
    <w:rsid w:val="006671B0"/>
    <w:rsid w:val="0066773E"/>
    <w:rsid w:val="0067473D"/>
    <w:rsid w:val="00674B5D"/>
    <w:rsid w:val="006751D5"/>
    <w:rsid w:val="0067580E"/>
    <w:rsid w:val="006777E2"/>
    <w:rsid w:val="00685F49"/>
    <w:rsid w:val="00687105"/>
    <w:rsid w:val="00690F2F"/>
    <w:rsid w:val="00692563"/>
    <w:rsid w:val="00692EA9"/>
    <w:rsid w:val="0069436A"/>
    <w:rsid w:val="006A035F"/>
    <w:rsid w:val="006A133F"/>
    <w:rsid w:val="006B064E"/>
    <w:rsid w:val="006B4260"/>
    <w:rsid w:val="006D59F2"/>
    <w:rsid w:val="006F0DA3"/>
    <w:rsid w:val="007025E8"/>
    <w:rsid w:val="00704515"/>
    <w:rsid w:val="007078BC"/>
    <w:rsid w:val="007110D6"/>
    <w:rsid w:val="00715445"/>
    <w:rsid w:val="007237F5"/>
    <w:rsid w:val="0072662E"/>
    <w:rsid w:val="007278EA"/>
    <w:rsid w:val="007330B9"/>
    <w:rsid w:val="007351E2"/>
    <w:rsid w:val="00736A61"/>
    <w:rsid w:val="00737A70"/>
    <w:rsid w:val="00747376"/>
    <w:rsid w:val="00750856"/>
    <w:rsid w:val="00753FA4"/>
    <w:rsid w:val="007557ED"/>
    <w:rsid w:val="00767383"/>
    <w:rsid w:val="00775EE8"/>
    <w:rsid w:val="00783980"/>
    <w:rsid w:val="00787C8D"/>
    <w:rsid w:val="00790C76"/>
    <w:rsid w:val="007940ED"/>
    <w:rsid w:val="00796548"/>
    <w:rsid w:val="007A3CAD"/>
    <w:rsid w:val="007B0CFF"/>
    <w:rsid w:val="007B1C19"/>
    <w:rsid w:val="007B6E13"/>
    <w:rsid w:val="007B7114"/>
    <w:rsid w:val="007B74EB"/>
    <w:rsid w:val="007B7CD4"/>
    <w:rsid w:val="007C4687"/>
    <w:rsid w:val="007C471B"/>
    <w:rsid w:val="007D09EC"/>
    <w:rsid w:val="007D2897"/>
    <w:rsid w:val="007D4B0F"/>
    <w:rsid w:val="007D4CB6"/>
    <w:rsid w:val="007E42A4"/>
    <w:rsid w:val="007E5E66"/>
    <w:rsid w:val="007F36BC"/>
    <w:rsid w:val="00801096"/>
    <w:rsid w:val="0080477E"/>
    <w:rsid w:val="0080478D"/>
    <w:rsid w:val="00811200"/>
    <w:rsid w:val="00817B91"/>
    <w:rsid w:val="00822A8B"/>
    <w:rsid w:val="0083065E"/>
    <w:rsid w:val="00843654"/>
    <w:rsid w:val="00843B88"/>
    <w:rsid w:val="0084640A"/>
    <w:rsid w:val="00847873"/>
    <w:rsid w:val="008530C2"/>
    <w:rsid w:val="00855D19"/>
    <w:rsid w:val="008573BF"/>
    <w:rsid w:val="008619E2"/>
    <w:rsid w:val="00863877"/>
    <w:rsid w:val="0086436B"/>
    <w:rsid w:val="008648AB"/>
    <w:rsid w:val="008650F9"/>
    <w:rsid w:val="00866D07"/>
    <w:rsid w:val="00871990"/>
    <w:rsid w:val="00876B96"/>
    <w:rsid w:val="008803B2"/>
    <w:rsid w:val="008A1908"/>
    <w:rsid w:val="008A1DBE"/>
    <w:rsid w:val="008A247D"/>
    <w:rsid w:val="008A6CEA"/>
    <w:rsid w:val="008B218A"/>
    <w:rsid w:val="008D11EA"/>
    <w:rsid w:val="008D5A03"/>
    <w:rsid w:val="008D67F4"/>
    <w:rsid w:val="008E189F"/>
    <w:rsid w:val="008F0A65"/>
    <w:rsid w:val="008F25D9"/>
    <w:rsid w:val="008F5491"/>
    <w:rsid w:val="008F5654"/>
    <w:rsid w:val="00906877"/>
    <w:rsid w:val="00916B94"/>
    <w:rsid w:val="00931B6D"/>
    <w:rsid w:val="00933AA9"/>
    <w:rsid w:val="00933C55"/>
    <w:rsid w:val="009342EB"/>
    <w:rsid w:val="00934A4A"/>
    <w:rsid w:val="00952C88"/>
    <w:rsid w:val="00954CAA"/>
    <w:rsid w:val="009644AE"/>
    <w:rsid w:val="00964FD6"/>
    <w:rsid w:val="0096548E"/>
    <w:rsid w:val="00966261"/>
    <w:rsid w:val="00985F5C"/>
    <w:rsid w:val="009A19CE"/>
    <w:rsid w:val="009A2C44"/>
    <w:rsid w:val="009A4173"/>
    <w:rsid w:val="009A58BE"/>
    <w:rsid w:val="009B24FC"/>
    <w:rsid w:val="009B45CF"/>
    <w:rsid w:val="009B4B04"/>
    <w:rsid w:val="009C13C1"/>
    <w:rsid w:val="009C2664"/>
    <w:rsid w:val="009C6D20"/>
    <w:rsid w:val="009D25F5"/>
    <w:rsid w:val="009D426C"/>
    <w:rsid w:val="009D5C2E"/>
    <w:rsid w:val="009E1E66"/>
    <w:rsid w:val="009E51EF"/>
    <w:rsid w:val="009F16AD"/>
    <w:rsid w:val="009F6ACD"/>
    <w:rsid w:val="00A008CC"/>
    <w:rsid w:val="00A018BC"/>
    <w:rsid w:val="00A11F6B"/>
    <w:rsid w:val="00A20B5E"/>
    <w:rsid w:val="00A2297F"/>
    <w:rsid w:val="00A2645B"/>
    <w:rsid w:val="00A26C72"/>
    <w:rsid w:val="00A358F2"/>
    <w:rsid w:val="00A41780"/>
    <w:rsid w:val="00A41ADD"/>
    <w:rsid w:val="00A44C58"/>
    <w:rsid w:val="00A5496F"/>
    <w:rsid w:val="00A5711B"/>
    <w:rsid w:val="00A61502"/>
    <w:rsid w:val="00A61BA8"/>
    <w:rsid w:val="00A711A3"/>
    <w:rsid w:val="00A74324"/>
    <w:rsid w:val="00A8561A"/>
    <w:rsid w:val="00A90FB5"/>
    <w:rsid w:val="00A920A8"/>
    <w:rsid w:val="00A95183"/>
    <w:rsid w:val="00AA16D8"/>
    <w:rsid w:val="00AA66C9"/>
    <w:rsid w:val="00AB3872"/>
    <w:rsid w:val="00AB5656"/>
    <w:rsid w:val="00AB78FE"/>
    <w:rsid w:val="00AC3AFF"/>
    <w:rsid w:val="00AC725D"/>
    <w:rsid w:val="00AD558F"/>
    <w:rsid w:val="00AE03C3"/>
    <w:rsid w:val="00AE27B3"/>
    <w:rsid w:val="00AE4A2B"/>
    <w:rsid w:val="00AE4DF8"/>
    <w:rsid w:val="00AE50C3"/>
    <w:rsid w:val="00AF10F4"/>
    <w:rsid w:val="00AF1E4E"/>
    <w:rsid w:val="00AF40C6"/>
    <w:rsid w:val="00B04341"/>
    <w:rsid w:val="00B0581E"/>
    <w:rsid w:val="00B07E3A"/>
    <w:rsid w:val="00B1041F"/>
    <w:rsid w:val="00B13249"/>
    <w:rsid w:val="00B16524"/>
    <w:rsid w:val="00B17A41"/>
    <w:rsid w:val="00B17AF8"/>
    <w:rsid w:val="00B20CED"/>
    <w:rsid w:val="00B232C1"/>
    <w:rsid w:val="00B27A8E"/>
    <w:rsid w:val="00B455BF"/>
    <w:rsid w:val="00B571B2"/>
    <w:rsid w:val="00B64B1E"/>
    <w:rsid w:val="00B675F2"/>
    <w:rsid w:val="00B72E58"/>
    <w:rsid w:val="00B747F4"/>
    <w:rsid w:val="00B90FB7"/>
    <w:rsid w:val="00BA0771"/>
    <w:rsid w:val="00BA3782"/>
    <w:rsid w:val="00BA5EC8"/>
    <w:rsid w:val="00BA787A"/>
    <w:rsid w:val="00BB0538"/>
    <w:rsid w:val="00BB1318"/>
    <w:rsid w:val="00BB1D91"/>
    <w:rsid w:val="00BB28E1"/>
    <w:rsid w:val="00BB3CDB"/>
    <w:rsid w:val="00BB70DF"/>
    <w:rsid w:val="00BC1CB3"/>
    <w:rsid w:val="00BC5EAA"/>
    <w:rsid w:val="00BD096E"/>
    <w:rsid w:val="00BD1F9E"/>
    <w:rsid w:val="00BD2D0E"/>
    <w:rsid w:val="00BE45B7"/>
    <w:rsid w:val="00BE7154"/>
    <w:rsid w:val="00BF7C96"/>
    <w:rsid w:val="00C042EB"/>
    <w:rsid w:val="00C04744"/>
    <w:rsid w:val="00C056E5"/>
    <w:rsid w:val="00C05BD6"/>
    <w:rsid w:val="00C07AD8"/>
    <w:rsid w:val="00C113AE"/>
    <w:rsid w:val="00C1237E"/>
    <w:rsid w:val="00C12AEE"/>
    <w:rsid w:val="00C162C0"/>
    <w:rsid w:val="00C1681A"/>
    <w:rsid w:val="00C2084E"/>
    <w:rsid w:val="00C308CB"/>
    <w:rsid w:val="00C348BD"/>
    <w:rsid w:val="00C357FE"/>
    <w:rsid w:val="00C40324"/>
    <w:rsid w:val="00C444CE"/>
    <w:rsid w:val="00C646DA"/>
    <w:rsid w:val="00C64A93"/>
    <w:rsid w:val="00C6780F"/>
    <w:rsid w:val="00C80A76"/>
    <w:rsid w:val="00C82330"/>
    <w:rsid w:val="00C939B1"/>
    <w:rsid w:val="00C96493"/>
    <w:rsid w:val="00CB086C"/>
    <w:rsid w:val="00CB3EB9"/>
    <w:rsid w:val="00CC624C"/>
    <w:rsid w:val="00CC6B78"/>
    <w:rsid w:val="00CC74EF"/>
    <w:rsid w:val="00CC784B"/>
    <w:rsid w:val="00CD2BB3"/>
    <w:rsid w:val="00CD400F"/>
    <w:rsid w:val="00CD7075"/>
    <w:rsid w:val="00CE506D"/>
    <w:rsid w:val="00CF41FB"/>
    <w:rsid w:val="00CF596D"/>
    <w:rsid w:val="00D02D1A"/>
    <w:rsid w:val="00D11903"/>
    <w:rsid w:val="00D17500"/>
    <w:rsid w:val="00D2000C"/>
    <w:rsid w:val="00D21A9C"/>
    <w:rsid w:val="00D222EE"/>
    <w:rsid w:val="00D22B4C"/>
    <w:rsid w:val="00D23933"/>
    <w:rsid w:val="00D36326"/>
    <w:rsid w:val="00D3654C"/>
    <w:rsid w:val="00D406AF"/>
    <w:rsid w:val="00D42C9A"/>
    <w:rsid w:val="00D51D38"/>
    <w:rsid w:val="00D5220A"/>
    <w:rsid w:val="00D534CB"/>
    <w:rsid w:val="00D54868"/>
    <w:rsid w:val="00D54D57"/>
    <w:rsid w:val="00D564B0"/>
    <w:rsid w:val="00D61F08"/>
    <w:rsid w:val="00D66E9B"/>
    <w:rsid w:val="00D7224C"/>
    <w:rsid w:val="00D7328F"/>
    <w:rsid w:val="00D735DE"/>
    <w:rsid w:val="00D743AB"/>
    <w:rsid w:val="00D83F37"/>
    <w:rsid w:val="00D8527C"/>
    <w:rsid w:val="00D902CF"/>
    <w:rsid w:val="00D93700"/>
    <w:rsid w:val="00DA68DF"/>
    <w:rsid w:val="00DB42C7"/>
    <w:rsid w:val="00DB73CD"/>
    <w:rsid w:val="00DC4378"/>
    <w:rsid w:val="00DD0079"/>
    <w:rsid w:val="00DD3571"/>
    <w:rsid w:val="00DE1115"/>
    <w:rsid w:val="00DF16F9"/>
    <w:rsid w:val="00E06FA9"/>
    <w:rsid w:val="00E14111"/>
    <w:rsid w:val="00E177DA"/>
    <w:rsid w:val="00E307FD"/>
    <w:rsid w:val="00E30A18"/>
    <w:rsid w:val="00E36646"/>
    <w:rsid w:val="00E36C7A"/>
    <w:rsid w:val="00E37238"/>
    <w:rsid w:val="00E40F37"/>
    <w:rsid w:val="00E470A9"/>
    <w:rsid w:val="00E54905"/>
    <w:rsid w:val="00E54EB7"/>
    <w:rsid w:val="00E639DE"/>
    <w:rsid w:val="00E70B53"/>
    <w:rsid w:val="00E720F9"/>
    <w:rsid w:val="00E743F0"/>
    <w:rsid w:val="00E76C7B"/>
    <w:rsid w:val="00E7782F"/>
    <w:rsid w:val="00E81127"/>
    <w:rsid w:val="00E85A40"/>
    <w:rsid w:val="00E92A8E"/>
    <w:rsid w:val="00EA5C56"/>
    <w:rsid w:val="00EA7BFD"/>
    <w:rsid w:val="00EC13B9"/>
    <w:rsid w:val="00EC499D"/>
    <w:rsid w:val="00EC5F1A"/>
    <w:rsid w:val="00ED4687"/>
    <w:rsid w:val="00ED4983"/>
    <w:rsid w:val="00EE0D86"/>
    <w:rsid w:val="00EE19FB"/>
    <w:rsid w:val="00EE1C42"/>
    <w:rsid w:val="00EE7310"/>
    <w:rsid w:val="00EE7DF3"/>
    <w:rsid w:val="00EE7DF9"/>
    <w:rsid w:val="00EF5772"/>
    <w:rsid w:val="00F00196"/>
    <w:rsid w:val="00F00C10"/>
    <w:rsid w:val="00F025D9"/>
    <w:rsid w:val="00F052AF"/>
    <w:rsid w:val="00F10683"/>
    <w:rsid w:val="00F13121"/>
    <w:rsid w:val="00F147AB"/>
    <w:rsid w:val="00F15B66"/>
    <w:rsid w:val="00F22EF2"/>
    <w:rsid w:val="00F23277"/>
    <w:rsid w:val="00F3400D"/>
    <w:rsid w:val="00F37D1E"/>
    <w:rsid w:val="00F40DE8"/>
    <w:rsid w:val="00F511D0"/>
    <w:rsid w:val="00F5351A"/>
    <w:rsid w:val="00F54D64"/>
    <w:rsid w:val="00F704F8"/>
    <w:rsid w:val="00F70CCD"/>
    <w:rsid w:val="00F762EE"/>
    <w:rsid w:val="00F82D11"/>
    <w:rsid w:val="00F851AE"/>
    <w:rsid w:val="00F90F3B"/>
    <w:rsid w:val="00F92543"/>
    <w:rsid w:val="00F92F51"/>
    <w:rsid w:val="00F93E78"/>
    <w:rsid w:val="00FA0FE5"/>
    <w:rsid w:val="00FA1B4A"/>
    <w:rsid w:val="00FA3549"/>
    <w:rsid w:val="00FA543C"/>
    <w:rsid w:val="00FA59F5"/>
    <w:rsid w:val="00FA5AE9"/>
    <w:rsid w:val="00FB043C"/>
    <w:rsid w:val="00FC3840"/>
    <w:rsid w:val="00FC5764"/>
    <w:rsid w:val="00FC5EAE"/>
    <w:rsid w:val="00FE18CA"/>
    <w:rsid w:val="00FE2803"/>
    <w:rsid w:val="00FE4F67"/>
    <w:rsid w:val="00FF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33B5"/>
  <w15:docId w15:val="{450F08DA-E2A6-4980-8A06-5B42587C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8BA"/>
    <w:pPr>
      <w:widowControl w:val="0"/>
      <w:jc w:val="both"/>
    </w:pPr>
    <w:rPr>
      <w:rFonts w:ascii="Times New Roman" w:eastAsia="宋体" w:hAnsi="Times New Roman" w:cs="Times New Roman"/>
      <w:sz w:val="24"/>
      <w:szCs w:val="20"/>
    </w:rPr>
  </w:style>
  <w:style w:type="paragraph" w:styleId="1">
    <w:name w:val="heading 1"/>
    <w:basedOn w:val="a"/>
    <w:next w:val="Legal2L2"/>
    <w:link w:val="10"/>
    <w:qFormat/>
    <w:rsid w:val="00392DB4"/>
    <w:pPr>
      <w:keepNext/>
      <w:keepLines/>
      <w:widowControl/>
      <w:numPr>
        <w:numId w:val="11"/>
      </w:numPr>
      <w:spacing w:after="240"/>
      <w:jc w:val="left"/>
      <w:outlineLvl w:val="0"/>
    </w:pPr>
    <w:rPr>
      <w:rFonts w:ascii="Arial" w:eastAsia="@新宋体" w:hAnsi="Arial" w:cs="Arial"/>
      <w:b/>
      <w:bCs/>
      <w:kern w:val="44"/>
      <w:szCs w:val="44"/>
      <w:lang w:val="x-none" w:eastAsia="en-US"/>
    </w:rPr>
  </w:style>
  <w:style w:type="paragraph" w:styleId="4">
    <w:name w:val="heading 4"/>
    <w:basedOn w:val="a"/>
    <w:next w:val="a"/>
    <w:link w:val="40"/>
    <w:uiPriority w:val="9"/>
    <w:semiHidden/>
    <w:unhideWhenUsed/>
    <w:qFormat/>
    <w:rsid w:val="00F90F3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5564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C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7C8D"/>
    <w:rPr>
      <w:rFonts w:ascii="Times New Roman" w:eastAsia="宋体" w:hAnsi="Times New Roman" w:cs="Times New Roman"/>
      <w:sz w:val="18"/>
      <w:szCs w:val="18"/>
    </w:rPr>
  </w:style>
  <w:style w:type="paragraph" w:styleId="a5">
    <w:name w:val="footer"/>
    <w:basedOn w:val="a"/>
    <w:link w:val="a6"/>
    <w:uiPriority w:val="99"/>
    <w:unhideWhenUsed/>
    <w:rsid w:val="00787C8D"/>
    <w:pPr>
      <w:tabs>
        <w:tab w:val="center" w:pos="4153"/>
        <w:tab w:val="right" w:pos="8306"/>
      </w:tabs>
      <w:snapToGrid w:val="0"/>
      <w:jc w:val="left"/>
    </w:pPr>
    <w:rPr>
      <w:sz w:val="18"/>
      <w:szCs w:val="18"/>
    </w:rPr>
  </w:style>
  <w:style w:type="character" w:customStyle="1" w:styleId="a6">
    <w:name w:val="页脚 字符"/>
    <w:basedOn w:val="a0"/>
    <w:link w:val="a5"/>
    <w:uiPriority w:val="99"/>
    <w:rsid w:val="00787C8D"/>
    <w:rPr>
      <w:rFonts w:ascii="Times New Roman" w:eastAsia="宋体" w:hAnsi="Times New Roman" w:cs="Times New Roman"/>
      <w:sz w:val="18"/>
      <w:szCs w:val="18"/>
    </w:rPr>
  </w:style>
  <w:style w:type="character" w:styleId="a7">
    <w:name w:val="annotation reference"/>
    <w:basedOn w:val="a0"/>
    <w:uiPriority w:val="99"/>
    <w:unhideWhenUsed/>
    <w:rsid w:val="000A555B"/>
    <w:rPr>
      <w:sz w:val="21"/>
      <w:szCs w:val="21"/>
    </w:rPr>
  </w:style>
  <w:style w:type="paragraph" w:styleId="a8">
    <w:name w:val="annotation text"/>
    <w:basedOn w:val="a"/>
    <w:link w:val="a9"/>
    <w:unhideWhenUsed/>
    <w:rsid w:val="000A555B"/>
    <w:pPr>
      <w:jc w:val="left"/>
    </w:pPr>
  </w:style>
  <w:style w:type="character" w:customStyle="1" w:styleId="a9">
    <w:name w:val="批注文字 字符"/>
    <w:basedOn w:val="a0"/>
    <w:link w:val="a8"/>
    <w:rsid w:val="000A555B"/>
    <w:rPr>
      <w:rFonts w:ascii="Times New Roman" w:eastAsia="宋体" w:hAnsi="Times New Roman" w:cs="Times New Roman"/>
      <w:sz w:val="24"/>
      <w:szCs w:val="20"/>
    </w:rPr>
  </w:style>
  <w:style w:type="paragraph" w:styleId="aa">
    <w:name w:val="annotation subject"/>
    <w:basedOn w:val="a8"/>
    <w:next w:val="a8"/>
    <w:link w:val="ab"/>
    <w:uiPriority w:val="99"/>
    <w:semiHidden/>
    <w:unhideWhenUsed/>
    <w:rsid w:val="000A555B"/>
    <w:rPr>
      <w:b/>
      <w:bCs/>
    </w:rPr>
  </w:style>
  <w:style w:type="character" w:customStyle="1" w:styleId="ab">
    <w:name w:val="批注主题 字符"/>
    <w:basedOn w:val="a9"/>
    <w:link w:val="aa"/>
    <w:uiPriority w:val="99"/>
    <w:semiHidden/>
    <w:rsid w:val="000A555B"/>
    <w:rPr>
      <w:rFonts w:ascii="Times New Roman" w:eastAsia="宋体" w:hAnsi="Times New Roman" w:cs="Times New Roman"/>
      <w:b/>
      <w:bCs/>
      <w:sz w:val="24"/>
      <w:szCs w:val="20"/>
    </w:rPr>
  </w:style>
  <w:style w:type="paragraph" w:styleId="ac">
    <w:name w:val="Balloon Text"/>
    <w:basedOn w:val="a"/>
    <w:link w:val="ad"/>
    <w:uiPriority w:val="99"/>
    <w:semiHidden/>
    <w:unhideWhenUsed/>
    <w:rsid w:val="000A555B"/>
    <w:rPr>
      <w:sz w:val="18"/>
      <w:szCs w:val="18"/>
    </w:rPr>
  </w:style>
  <w:style w:type="character" w:customStyle="1" w:styleId="ad">
    <w:name w:val="批注框文本 字符"/>
    <w:basedOn w:val="a0"/>
    <w:link w:val="ac"/>
    <w:uiPriority w:val="99"/>
    <w:semiHidden/>
    <w:rsid w:val="000A555B"/>
    <w:rPr>
      <w:rFonts w:ascii="Times New Roman" w:eastAsia="宋体" w:hAnsi="Times New Roman" w:cs="Times New Roman"/>
      <w:sz w:val="18"/>
      <w:szCs w:val="18"/>
    </w:rPr>
  </w:style>
  <w:style w:type="paragraph" w:styleId="ae">
    <w:name w:val="List Paragraph"/>
    <w:basedOn w:val="a"/>
    <w:uiPriority w:val="34"/>
    <w:qFormat/>
    <w:rsid w:val="00BB1318"/>
    <w:pPr>
      <w:ind w:firstLineChars="200" w:firstLine="420"/>
    </w:pPr>
  </w:style>
  <w:style w:type="character" w:customStyle="1" w:styleId="10">
    <w:name w:val="标题 1 字符"/>
    <w:basedOn w:val="a0"/>
    <w:link w:val="1"/>
    <w:rsid w:val="00392DB4"/>
    <w:rPr>
      <w:rFonts w:ascii="Arial" w:eastAsia="@新宋体" w:hAnsi="Arial" w:cs="Arial"/>
      <w:b/>
      <w:bCs/>
      <w:kern w:val="44"/>
      <w:sz w:val="24"/>
      <w:szCs w:val="44"/>
      <w:lang w:val="x-none" w:eastAsia="en-US"/>
    </w:rPr>
  </w:style>
  <w:style w:type="paragraph" w:customStyle="1" w:styleId="Text">
    <w:name w:val="Text"/>
    <w:basedOn w:val="a"/>
    <w:rsid w:val="00392DB4"/>
    <w:pPr>
      <w:widowControl/>
      <w:spacing w:after="240"/>
      <w:ind w:firstLine="1440"/>
      <w:jc w:val="left"/>
    </w:pPr>
    <w:rPr>
      <w:rFonts w:ascii="Arial" w:hAnsi="Arial" w:cs="Arial"/>
      <w:kern w:val="0"/>
      <w:lang w:eastAsia="en-US"/>
    </w:rPr>
  </w:style>
  <w:style w:type="paragraph" w:customStyle="1" w:styleId="Legal2L4">
    <w:name w:val="Legal2_L4"/>
    <w:basedOn w:val="a"/>
    <w:next w:val="af"/>
    <w:rsid w:val="00392DB4"/>
    <w:pPr>
      <w:widowControl/>
      <w:numPr>
        <w:ilvl w:val="3"/>
        <w:numId w:val="11"/>
      </w:numPr>
      <w:spacing w:after="240"/>
      <w:jc w:val="left"/>
      <w:outlineLvl w:val="3"/>
    </w:pPr>
    <w:rPr>
      <w:rFonts w:ascii="Arial" w:eastAsia="Arial" w:hAnsi="Arial" w:cs="Arial"/>
      <w:kern w:val="0"/>
      <w:lang w:eastAsia="en-US"/>
    </w:rPr>
  </w:style>
  <w:style w:type="paragraph" w:customStyle="1" w:styleId="Legal2L2">
    <w:name w:val="Legal2_L2"/>
    <w:basedOn w:val="a"/>
    <w:next w:val="af"/>
    <w:rsid w:val="00392DB4"/>
    <w:pPr>
      <w:widowControl/>
      <w:numPr>
        <w:ilvl w:val="1"/>
        <w:numId w:val="11"/>
      </w:numPr>
      <w:tabs>
        <w:tab w:val="left" w:pos="720"/>
        <w:tab w:val="left" w:pos="1440"/>
      </w:tabs>
      <w:spacing w:after="240"/>
      <w:jc w:val="left"/>
      <w:outlineLvl w:val="1"/>
    </w:pPr>
    <w:rPr>
      <w:rFonts w:ascii="Arial" w:eastAsia="Arial" w:hAnsi="Arial" w:cs="Arial"/>
      <w:kern w:val="0"/>
      <w:lang w:eastAsia="en-US"/>
    </w:rPr>
  </w:style>
  <w:style w:type="paragraph" w:styleId="af">
    <w:name w:val="Body Text"/>
    <w:basedOn w:val="a"/>
    <w:link w:val="af0"/>
    <w:uiPriority w:val="99"/>
    <w:semiHidden/>
    <w:unhideWhenUsed/>
    <w:rsid w:val="00392DB4"/>
    <w:pPr>
      <w:spacing w:after="120"/>
    </w:pPr>
  </w:style>
  <w:style w:type="character" w:customStyle="1" w:styleId="af0">
    <w:name w:val="正文文本 字符"/>
    <w:basedOn w:val="a0"/>
    <w:link w:val="af"/>
    <w:uiPriority w:val="99"/>
    <w:semiHidden/>
    <w:rsid w:val="00392DB4"/>
    <w:rPr>
      <w:rFonts w:ascii="Times New Roman" w:eastAsia="宋体" w:hAnsi="Times New Roman" w:cs="Times New Roman"/>
      <w:sz w:val="24"/>
      <w:szCs w:val="20"/>
    </w:rPr>
  </w:style>
  <w:style w:type="character" w:styleId="af1">
    <w:name w:val="Hyperlink"/>
    <w:uiPriority w:val="99"/>
    <w:rsid w:val="00E54905"/>
    <w:rPr>
      <w:color w:val="0000FF"/>
      <w:u w:val="single"/>
    </w:rPr>
  </w:style>
  <w:style w:type="paragraph" w:styleId="af2">
    <w:name w:val="Revision"/>
    <w:hidden/>
    <w:uiPriority w:val="99"/>
    <w:semiHidden/>
    <w:rsid w:val="00584768"/>
    <w:rPr>
      <w:rFonts w:ascii="Times New Roman" w:eastAsia="宋体" w:hAnsi="Times New Roman" w:cs="Times New Roman"/>
      <w:sz w:val="24"/>
      <w:szCs w:val="20"/>
    </w:rPr>
  </w:style>
  <w:style w:type="paragraph" w:customStyle="1" w:styleId="Default">
    <w:name w:val="Default"/>
    <w:rsid w:val="00166870"/>
    <w:pPr>
      <w:widowControl w:val="0"/>
      <w:autoSpaceDE w:val="0"/>
      <w:autoSpaceDN w:val="0"/>
      <w:adjustRightInd w:val="0"/>
    </w:pPr>
    <w:rPr>
      <w:rFonts w:ascii="宋体" w:eastAsia="宋体" w:cs="宋体"/>
      <w:color w:val="000000"/>
      <w:kern w:val="0"/>
      <w:sz w:val="24"/>
      <w:szCs w:val="24"/>
    </w:rPr>
  </w:style>
  <w:style w:type="paragraph" w:styleId="af3">
    <w:name w:val="footnote text"/>
    <w:basedOn w:val="a"/>
    <w:link w:val="af4"/>
    <w:uiPriority w:val="99"/>
    <w:semiHidden/>
    <w:unhideWhenUsed/>
    <w:rsid w:val="0014203D"/>
    <w:pPr>
      <w:snapToGrid w:val="0"/>
      <w:jc w:val="left"/>
    </w:pPr>
    <w:rPr>
      <w:sz w:val="18"/>
      <w:szCs w:val="18"/>
    </w:rPr>
  </w:style>
  <w:style w:type="character" w:customStyle="1" w:styleId="af4">
    <w:name w:val="脚注文本 字符"/>
    <w:basedOn w:val="a0"/>
    <w:link w:val="af3"/>
    <w:uiPriority w:val="99"/>
    <w:semiHidden/>
    <w:rsid w:val="0014203D"/>
    <w:rPr>
      <w:rFonts w:ascii="Times New Roman" w:eastAsia="宋体" w:hAnsi="Times New Roman" w:cs="Times New Roman"/>
      <w:sz w:val="18"/>
      <w:szCs w:val="18"/>
    </w:rPr>
  </w:style>
  <w:style w:type="character" w:styleId="af5">
    <w:name w:val="footnote reference"/>
    <w:basedOn w:val="a0"/>
    <w:uiPriority w:val="99"/>
    <w:semiHidden/>
    <w:unhideWhenUsed/>
    <w:rsid w:val="0014203D"/>
    <w:rPr>
      <w:vertAlign w:val="superscript"/>
    </w:rPr>
  </w:style>
  <w:style w:type="paragraph" w:styleId="2">
    <w:name w:val="Body Text Indent 2"/>
    <w:basedOn w:val="a"/>
    <w:link w:val="20"/>
    <w:rsid w:val="00F762EE"/>
    <w:pPr>
      <w:spacing w:after="120" w:line="480" w:lineRule="auto"/>
      <w:ind w:leftChars="200" w:left="420"/>
    </w:pPr>
    <w:rPr>
      <w:sz w:val="21"/>
    </w:rPr>
  </w:style>
  <w:style w:type="character" w:customStyle="1" w:styleId="20">
    <w:name w:val="正文文本缩进 2 字符"/>
    <w:basedOn w:val="a0"/>
    <w:link w:val="2"/>
    <w:rsid w:val="00F762EE"/>
    <w:rPr>
      <w:rFonts w:ascii="Times New Roman" w:eastAsia="宋体" w:hAnsi="Times New Roman" w:cs="Times New Roman"/>
      <w:szCs w:val="20"/>
    </w:rPr>
  </w:style>
  <w:style w:type="paragraph" w:customStyle="1" w:styleId="11">
    <w:name w:val="列出段落1"/>
    <w:basedOn w:val="a"/>
    <w:rsid w:val="00F762EE"/>
    <w:pPr>
      <w:widowControl/>
      <w:spacing w:after="200" w:line="276" w:lineRule="auto"/>
      <w:ind w:firstLineChars="200" w:firstLine="420"/>
      <w:jc w:val="left"/>
    </w:pPr>
    <w:rPr>
      <w:rFonts w:asciiTheme="minorHAnsi" w:eastAsiaTheme="minorEastAsia" w:hAnsiTheme="minorHAnsi" w:cstheme="minorBidi"/>
      <w:kern w:val="0"/>
      <w:sz w:val="22"/>
      <w:szCs w:val="22"/>
    </w:rPr>
  </w:style>
  <w:style w:type="character" w:customStyle="1" w:styleId="40">
    <w:name w:val="标题 4 字符"/>
    <w:basedOn w:val="a0"/>
    <w:link w:val="4"/>
    <w:uiPriority w:val="9"/>
    <w:semiHidden/>
    <w:rsid w:val="00F90F3B"/>
    <w:rPr>
      <w:rFonts w:asciiTheme="majorHAnsi" w:eastAsiaTheme="majorEastAsia" w:hAnsiTheme="majorHAnsi" w:cstheme="majorBidi"/>
      <w:b/>
      <w:bCs/>
      <w:sz w:val="28"/>
      <w:szCs w:val="28"/>
    </w:rPr>
  </w:style>
  <w:style w:type="paragraph" w:styleId="af6">
    <w:name w:val="Normal (Web)"/>
    <w:basedOn w:val="a"/>
    <w:uiPriority w:val="99"/>
    <w:semiHidden/>
    <w:unhideWhenUsed/>
    <w:rsid w:val="005E0346"/>
    <w:pPr>
      <w:widowControl/>
      <w:spacing w:before="100" w:beforeAutospacing="1" w:after="100" w:afterAutospacing="1"/>
      <w:jc w:val="left"/>
    </w:pPr>
    <w:rPr>
      <w:rFonts w:ascii="宋体" w:hAnsi="宋体" w:cs="宋体"/>
      <w:kern w:val="0"/>
      <w:szCs w:val="24"/>
    </w:rPr>
  </w:style>
  <w:style w:type="character" w:customStyle="1" w:styleId="50">
    <w:name w:val="标题 5 字符"/>
    <w:basedOn w:val="a0"/>
    <w:link w:val="5"/>
    <w:uiPriority w:val="9"/>
    <w:semiHidden/>
    <w:rsid w:val="0055564F"/>
    <w:rPr>
      <w:rFonts w:ascii="Times New Roman" w:eastAsia="宋体" w:hAnsi="Times New Roman" w:cs="Times New Roman"/>
      <w:b/>
      <w:bCs/>
      <w:sz w:val="28"/>
      <w:szCs w:val="28"/>
    </w:rPr>
  </w:style>
  <w:style w:type="table" w:styleId="af7">
    <w:name w:val="Table Grid"/>
    <w:basedOn w:val="a1"/>
    <w:uiPriority w:val="59"/>
    <w:rsid w:val="0055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9366">
      <w:bodyDiv w:val="1"/>
      <w:marLeft w:val="0"/>
      <w:marRight w:val="0"/>
      <w:marTop w:val="0"/>
      <w:marBottom w:val="0"/>
      <w:divBdr>
        <w:top w:val="none" w:sz="0" w:space="0" w:color="auto"/>
        <w:left w:val="none" w:sz="0" w:space="0" w:color="auto"/>
        <w:bottom w:val="none" w:sz="0" w:space="0" w:color="auto"/>
        <w:right w:val="none" w:sz="0" w:space="0" w:color="auto"/>
      </w:divBdr>
    </w:div>
    <w:div w:id="210307349">
      <w:bodyDiv w:val="1"/>
      <w:marLeft w:val="0"/>
      <w:marRight w:val="0"/>
      <w:marTop w:val="0"/>
      <w:marBottom w:val="0"/>
      <w:divBdr>
        <w:top w:val="none" w:sz="0" w:space="0" w:color="auto"/>
        <w:left w:val="none" w:sz="0" w:space="0" w:color="auto"/>
        <w:bottom w:val="none" w:sz="0" w:space="0" w:color="auto"/>
        <w:right w:val="none" w:sz="0" w:space="0" w:color="auto"/>
      </w:divBdr>
    </w:div>
    <w:div w:id="211423655">
      <w:bodyDiv w:val="1"/>
      <w:marLeft w:val="0"/>
      <w:marRight w:val="0"/>
      <w:marTop w:val="0"/>
      <w:marBottom w:val="0"/>
      <w:divBdr>
        <w:top w:val="none" w:sz="0" w:space="0" w:color="auto"/>
        <w:left w:val="none" w:sz="0" w:space="0" w:color="auto"/>
        <w:bottom w:val="none" w:sz="0" w:space="0" w:color="auto"/>
        <w:right w:val="none" w:sz="0" w:space="0" w:color="auto"/>
      </w:divBdr>
    </w:div>
    <w:div w:id="775713566">
      <w:bodyDiv w:val="1"/>
      <w:marLeft w:val="0"/>
      <w:marRight w:val="0"/>
      <w:marTop w:val="0"/>
      <w:marBottom w:val="0"/>
      <w:divBdr>
        <w:top w:val="none" w:sz="0" w:space="0" w:color="auto"/>
        <w:left w:val="none" w:sz="0" w:space="0" w:color="auto"/>
        <w:bottom w:val="none" w:sz="0" w:space="0" w:color="auto"/>
        <w:right w:val="none" w:sz="0" w:space="0" w:color="auto"/>
      </w:divBdr>
    </w:div>
    <w:div w:id="791051167">
      <w:bodyDiv w:val="1"/>
      <w:marLeft w:val="0"/>
      <w:marRight w:val="0"/>
      <w:marTop w:val="0"/>
      <w:marBottom w:val="0"/>
      <w:divBdr>
        <w:top w:val="none" w:sz="0" w:space="0" w:color="auto"/>
        <w:left w:val="none" w:sz="0" w:space="0" w:color="auto"/>
        <w:bottom w:val="none" w:sz="0" w:space="0" w:color="auto"/>
        <w:right w:val="none" w:sz="0" w:space="0" w:color="auto"/>
      </w:divBdr>
    </w:div>
    <w:div w:id="879902818">
      <w:bodyDiv w:val="1"/>
      <w:marLeft w:val="0"/>
      <w:marRight w:val="0"/>
      <w:marTop w:val="0"/>
      <w:marBottom w:val="0"/>
      <w:divBdr>
        <w:top w:val="none" w:sz="0" w:space="0" w:color="auto"/>
        <w:left w:val="none" w:sz="0" w:space="0" w:color="auto"/>
        <w:bottom w:val="none" w:sz="0" w:space="0" w:color="auto"/>
        <w:right w:val="none" w:sz="0" w:space="0" w:color="auto"/>
      </w:divBdr>
    </w:div>
    <w:div w:id="1112241729">
      <w:bodyDiv w:val="1"/>
      <w:marLeft w:val="0"/>
      <w:marRight w:val="0"/>
      <w:marTop w:val="0"/>
      <w:marBottom w:val="0"/>
      <w:divBdr>
        <w:top w:val="none" w:sz="0" w:space="0" w:color="auto"/>
        <w:left w:val="none" w:sz="0" w:space="0" w:color="auto"/>
        <w:bottom w:val="none" w:sz="0" w:space="0" w:color="auto"/>
        <w:right w:val="none" w:sz="0" w:space="0" w:color="auto"/>
      </w:divBdr>
    </w:div>
    <w:div w:id="1158107647">
      <w:bodyDiv w:val="1"/>
      <w:marLeft w:val="0"/>
      <w:marRight w:val="0"/>
      <w:marTop w:val="0"/>
      <w:marBottom w:val="0"/>
      <w:divBdr>
        <w:top w:val="none" w:sz="0" w:space="0" w:color="auto"/>
        <w:left w:val="none" w:sz="0" w:space="0" w:color="auto"/>
        <w:bottom w:val="none" w:sz="0" w:space="0" w:color="auto"/>
        <w:right w:val="none" w:sz="0" w:space="0" w:color="auto"/>
      </w:divBdr>
    </w:div>
    <w:div w:id="1319840332">
      <w:bodyDiv w:val="1"/>
      <w:marLeft w:val="0"/>
      <w:marRight w:val="0"/>
      <w:marTop w:val="0"/>
      <w:marBottom w:val="0"/>
      <w:divBdr>
        <w:top w:val="none" w:sz="0" w:space="0" w:color="auto"/>
        <w:left w:val="none" w:sz="0" w:space="0" w:color="auto"/>
        <w:bottom w:val="none" w:sz="0" w:space="0" w:color="auto"/>
        <w:right w:val="none" w:sz="0" w:space="0" w:color="auto"/>
      </w:divBdr>
    </w:div>
    <w:div w:id="1351839078">
      <w:bodyDiv w:val="1"/>
      <w:marLeft w:val="0"/>
      <w:marRight w:val="0"/>
      <w:marTop w:val="0"/>
      <w:marBottom w:val="0"/>
      <w:divBdr>
        <w:top w:val="none" w:sz="0" w:space="0" w:color="auto"/>
        <w:left w:val="none" w:sz="0" w:space="0" w:color="auto"/>
        <w:bottom w:val="none" w:sz="0" w:space="0" w:color="auto"/>
        <w:right w:val="none" w:sz="0" w:space="0" w:color="auto"/>
      </w:divBdr>
    </w:div>
    <w:div w:id="1516070914">
      <w:bodyDiv w:val="1"/>
      <w:marLeft w:val="0"/>
      <w:marRight w:val="0"/>
      <w:marTop w:val="0"/>
      <w:marBottom w:val="0"/>
      <w:divBdr>
        <w:top w:val="none" w:sz="0" w:space="0" w:color="auto"/>
        <w:left w:val="none" w:sz="0" w:space="0" w:color="auto"/>
        <w:bottom w:val="none" w:sz="0" w:space="0" w:color="auto"/>
        <w:right w:val="none" w:sz="0" w:space="0" w:color="auto"/>
      </w:divBdr>
    </w:div>
    <w:div w:id="1618609015">
      <w:bodyDiv w:val="1"/>
      <w:marLeft w:val="0"/>
      <w:marRight w:val="0"/>
      <w:marTop w:val="0"/>
      <w:marBottom w:val="0"/>
      <w:divBdr>
        <w:top w:val="none" w:sz="0" w:space="0" w:color="auto"/>
        <w:left w:val="none" w:sz="0" w:space="0" w:color="auto"/>
        <w:bottom w:val="none" w:sz="0" w:space="0" w:color="auto"/>
        <w:right w:val="none" w:sz="0" w:space="0" w:color="auto"/>
      </w:divBdr>
    </w:div>
    <w:div w:id="1677072712">
      <w:bodyDiv w:val="1"/>
      <w:marLeft w:val="0"/>
      <w:marRight w:val="0"/>
      <w:marTop w:val="0"/>
      <w:marBottom w:val="0"/>
      <w:divBdr>
        <w:top w:val="none" w:sz="0" w:space="0" w:color="auto"/>
        <w:left w:val="none" w:sz="0" w:space="0" w:color="auto"/>
        <w:bottom w:val="none" w:sz="0" w:space="0" w:color="auto"/>
        <w:right w:val="none" w:sz="0" w:space="0" w:color="auto"/>
      </w:divBdr>
    </w:div>
    <w:div w:id="1939286546">
      <w:bodyDiv w:val="1"/>
      <w:marLeft w:val="0"/>
      <w:marRight w:val="0"/>
      <w:marTop w:val="0"/>
      <w:marBottom w:val="0"/>
      <w:divBdr>
        <w:top w:val="none" w:sz="0" w:space="0" w:color="auto"/>
        <w:left w:val="none" w:sz="0" w:space="0" w:color="auto"/>
        <w:bottom w:val="none" w:sz="0" w:space="0" w:color="auto"/>
        <w:right w:val="none" w:sz="0" w:space="0" w:color="auto"/>
      </w:divBdr>
    </w:div>
    <w:div w:id="1990598874">
      <w:bodyDiv w:val="1"/>
      <w:marLeft w:val="0"/>
      <w:marRight w:val="0"/>
      <w:marTop w:val="0"/>
      <w:marBottom w:val="0"/>
      <w:divBdr>
        <w:top w:val="none" w:sz="0" w:space="0" w:color="auto"/>
        <w:left w:val="none" w:sz="0" w:space="0" w:color="auto"/>
        <w:bottom w:val="none" w:sz="0" w:space="0" w:color="auto"/>
        <w:right w:val="none" w:sz="0" w:space="0" w:color="auto"/>
      </w:divBdr>
    </w:div>
    <w:div w:id="2125727830">
      <w:bodyDiv w:val="1"/>
      <w:marLeft w:val="0"/>
      <w:marRight w:val="0"/>
      <w:marTop w:val="0"/>
      <w:marBottom w:val="0"/>
      <w:divBdr>
        <w:top w:val="none" w:sz="0" w:space="0" w:color="auto"/>
        <w:left w:val="none" w:sz="0" w:space="0" w:color="auto"/>
        <w:bottom w:val="none" w:sz="0" w:space="0" w:color="auto"/>
        <w:right w:val="none" w:sz="0" w:space="0" w:color="auto"/>
      </w:divBdr>
    </w:div>
    <w:div w:id="21258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3450-DEAF-4128-9AD8-B572CC8A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512</Words>
  <Characters>2925</Characters>
  <Application>Microsoft Office Word</Application>
  <DocSecurity>0</DocSecurity>
  <Lines>24</Lines>
  <Paragraphs>6</Paragraphs>
  <ScaleCrop>false</ScaleCrop>
  <Company>Sky123.Org</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Rose(蔡若思)</dc:creator>
  <cp:keywords/>
  <dc:description/>
  <cp:lastModifiedBy>Qiu JuanMei</cp:lastModifiedBy>
  <cp:revision>108</cp:revision>
  <cp:lastPrinted>2019-10-22T11:53:00Z</cp:lastPrinted>
  <dcterms:created xsi:type="dcterms:W3CDTF">2019-04-24T02:33:00Z</dcterms:created>
  <dcterms:modified xsi:type="dcterms:W3CDTF">2022-10-21T08:38:00Z</dcterms:modified>
</cp:coreProperties>
</file>